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6D69" w:rsidRPr="000A64D8" w:rsidRDefault="00A56D69" w:rsidP="00A56D69">
      <w:pPr>
        <w:tabs>
          <w:tab w:val="right" w:pos="10000"/>
        </w:tabs>
        <w:spacing w:after="0"/>
        <w:rPr>
          <w:rFonts w:ascii="Arial" w:hAnsi="Arial" w:cs="Arial"/>
          <w:b/>
          <w:sz w:val="24"/>
          <w:szCs w:val="24"/>
        </w:rPr>
      </w:pPr>
      <w:r w:rsidRPr="0052548E">
        <w:rPr>
          <w:rFonts w:ascii="Arial" w:hAnsi="Arial" w:cs="Arial"/>
          <w:b/>
          <w:bCs/>
          <w:sz w:val="28"/>
        </w:rPr>
        <w:t>3GPP TSG RAN WG1 Meeting</w:t>
      </w:r>
      <w:r>
        <w:rPr>
          <w:rFonts w:ascii="Arial" w:eastAsiaTheme="minorEastAsia" w:hAnsi="Arial" w:cs="Arial" w:hint="eastAsia"/>
          <w:b/>
          <w:bCs/>
          <w:sz w:val="28"/>
          <w:lang w:eastAsia="ja-JP"/>
        </w:rPr>
        <w:t xml:space="preserve"> </w:t>
      </w:r>
      <w:r w:rsidR="00BB273F">
        <w:rPr>
          <w:rFonts w:ascii="Arial" w:eastAsiaTheme="minorEastAsia" w:hAnsi="Arial" w:cs="Arial"/>
          <w:b/>
          <w:bCs/>
          <w:sz w:val="28"/>
          <w:lang w:eastAsia="ja-JP"/>
        </w:rPr>
        <w:t>#89</w:t>
      </w:r>
      <w:r>
        <w:rPr>
          <w:rFonts w:ascii="Arial" w:eastAsiaTheme="minorEastAsia" w:hAnsi="Arial" w:cs="Arial" w:hint="eastAsia"/>
          <w:b/>
          <w:bCs/>
          <w:sz w:val="28"/>
          <w:lang w:eastAsia="ja-JP"/>
        </w:rPr>
        <w:t xml:space="preserve">              </w:t>
      </w:r>
      <w:r w:rsidRPr="000A64D8">
        <w:rPr>
          <w:rFonts w:ascii="Arial" w:hAnsi="Arial" w:cs="Arial"/>
          <w:b/>
          <w:sz w:val="24"/>
          <w:szCs w:val="24"/>
        </w:rPr>
        <w:tab/>
      </w:r>
      <w:r w:rsidRPr="005D7472">
        <w:rPr>
          <w:rFonts w:ascii="Arial" w:hAnsi="Arial" w:cs="Arial"/>
          <w:b/>
          <w:sz w:val="28"/>
          <w:szCs w:val="24"/>
        </w:rPr>
        <w:t>R1-</w:t>
      </w:r>
      <w:r w:rsidR="00DE6BD8">
        <w:rPr>
          <w:rFonts w:ascii="Arial" w:hAnsi="Arial" w:cs="Arial"/>
          <w:b/>
          <w:sz w:val="28"/>
          <w:szCs w:val="24"/>
        </w:rPr>
        <w:t>1707744</w:t>
      </w:r>
    </w:p>
    <w:p w:rsidR="00063362" w:rsidRPr="00FD021C" w:rsidRDefault="00BB273F" w:rsidP="00063362">
      <w:pPr>
        <w:tabs>
          <w:tab w:val="right" w:pos="9630"/>
        </w:tabs>
        <w:spacing w:after="0"/>
        <w:jc w:val="both"/>
        <w:rPr>
          <w:rFonts w:ascii="Arial" w:hAnsi="Arial" w:cs="Arial"/>
          <w:b/>
          <w:sz w:val="24"/>
          <w:szCs w:val="24"/>
        </w:rPr>
      </w:pPr>
      <w:r>
        <w:rPr>
          <w:rFonts w:ascii="Arial" w:hAnsi="Arial" w:cs="Arial"/>
          <w:b/>
          <w:sz w:val="24"/>
          <w:szCs w:val="24"/>
        </w:rPr>
        <w:t>15</w:t>
      </w:r>
      <w:r>
        <w:rPr>
          <w:rFonts w:ascii="Arial" w:hAnsi="Arial" w:cs="Arial"/>
          <w:b/>
          <w:sz w:val="24"/>
          <w:szCs w:val="24"/>
          <w:vertAlign w:val="superscript"/>
        </w:rPr>
        <w:t>th</w:t>
      </w:r>
      <w:r w:rsidR="00063362">
        <w:rPr>
          <w:rFonts w:ascii="Arial" w:hAnsi="Arial" w:cs="Arial"/>
          <w:b/>
          <w:sz w:val="24"/>
          <w:szCs w:val="24"/>
        </w:rPr>
        <w:t xml:space="preserve"> –</w:t>
      </w:r>
      <w:r w:rsidR="00063362" w:rsidRPr="003732BA">
        <w:rPr>
          <w:rFonts w:ascii="Arial" w:hAnsi="Arial" w:cs="Arial"/>
          <w:b/>
          <w:sz w:val="24"/>
          <w:szCs w:val="24"/>
        </w:rPr>
        <w:t xml:space="preserve"> </w:t>
      </w:r>
      <w:r>
        <w:rPr>
          <w:rFonts w:ascii="Arial" w:hAnsi="Arial" w:cs="Arial"/>
          <w:b/>
          <w:sz w:val="24"/>
          <w:szCs w:val="24"/>
        </w:rPr>
        <w:t>19</w:t>
      </w:r>
      <w:r w:rsidR="00063362" w:rsidRPr="00CA6BDF">
        <w:rPr>
          <w:rFonts w:ascii="Arial" w:hAnsi="Arial" w:cs="Arial"/>
          <w:b/>
          <w:sz w:val="24"/>
          <w:szCs w:val="24"/>
          <w:vertAlign w:val="superscript"/>
        </w:rPr>
        <w:t>th</w:t>
      </w:r>
      <w:r w:rsidR="00063362">
        <w:rPr>
          <w:rFonts w:ascii="Arial" w:hAnsi="Arial" w:cs="Arial"/>
          <w:b/>
          <w:sz w:val="24"/>
          <w:szCs w:val="24"/>
        </w:rPr>
        <w:t xml:space="preserve"> </w:t>
      </w:r>
      <w:r>
        <w:rPr>
          <w:rFonts w:ascii="Arial" w:eastAsia="MS Mincho" w:hAnsi="Arial" w:cs="Arial" w:hint="eastAsia"/>
          <w:b/>
          <w:bCs/>
          <w:sz w:val="28"/>
          <w:lang w:eastAsia="ja-JP"/>
        </w:rPr>
        <w:t>May</w:t>
      </w:r>
      <w:r w:rsidR="00063362">
        <w:rPr>
          <w:rFonts w:ascii="Arial" w:hAnsi="Arial" w:cs="Arial"/>
          <w:b/>
          <w:bCs/>
          <w:sz w:val="28"/>
        </w:rPr>
        <w:t xml:space="preserve"> </w:t>
      </w:r>
      <w:r w:rsidR="00063362">
        <w:rPr>
          <w:rFonts w:ascii="Arial" w:hAnsi="Arial" w:cs="Arial"/>
          <w:b/>
          <w:sz w:val="24"/>
          <w:szCs w:val="24"/>
        </w:rPr>
        <w:t>2017</w:t>
      </w:r>
    </w:p>
    <w:p w:rsidR="00063362" w:rsidRPr="00FD021C" w:rsidRDefault="00BB273F" w:rsidP="00063362">
      <w:pPr>
        <w:spacing w:after="0"/>
        <w:jc w:val="both"/>
        <w:rPr>
          <w:rFonts w:ascii="Arial" w:hAnsi="Arial" w:cs="Arial"/>
          <w:b/>
          <w:sz w:val="24"/>
          <w:szCs w:val="24"/>
        </w:rPr>
      </w:pPr>
      <w:r>
        <w:rPr>
          <w:rFonts w:ascii="Arial" w:hAnsi="Arial" w:cs="Arial"/>
          <w:b/>
          <w:sz w:val="24"/>
          <w:szCs w:val="24"/>
        </w:rPr>
        <w:t>Hangzhou, P. R. China</w:t>
      </w:r>
    </w:p>
    <w:p w:rsidR="00A56D69" w:rsidRPr="000A64D8" w:rsidRDefault="00A56D69" w:rsidP="00A56D69">
      <w:pPr>
        <w:pStyle w:val="Footer"/>
        <w:jc w:val="both"/>
        <w:rPr>
          <w:noProof w:val="0"/>
        </w:rPr>
      </w:pPr>
    </w:p>
    <w:p w:rsidR="00A56D69" w:rsidRPr="000A64D8" w:rsidRDefault="00A56D69" w:rsidP="00A56D69">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DE6BD8">
        <w:rPr>
          <w:rFonts w:ascii="Arial" w:hAnsi="Arial"/>
          <w:sz w:val="24"/>
        </w:rPr>
        <w:t>7.1.3.3</w:t>
      </w:r>
      <w:r w:rsidR="00BB273F">
        <w:rPr>
          <w:rFonts w:ascii="Arial" w:hAnsi="Arial"/>
          <w:sz w:val="24"/>
        </w:rPr>
        <w:t>.5</w:t>
      </w:r>
      <w:r>
        <w:rPr>
          <w:rFonts w:ascii="Arial" w:hAnsi="Arial"/>
          <w:sz w:val="24"/>
        </w:rPr>
        <w:tab/>
      </w:r>
    </w:p>
    <w:p w:rsidR="00A56D69" w:rsidRPr="001D7377" w:rsidRDefault="00A56D69" w:rsidP="00A56D6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A56D69" w:rsidRPr="003570F9" w:rsidRDefault="00A56D69" w:rsidP="00A56D69">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DE6BD8" w:rsidRPr="00DE6BD8">
        <w:rPr>
          <w:rFonts w:ascii="Arial" w:hAnsi="Arial"/>
          <w:sz w:val="22"/>
        </w:rPr>
        <w:t xml:space="preserve">CBG Based </w:t>
      </w:r>
      <w:r w:rsidR="00EE3C5F">
        <w:rPr>
          <w:rFonts w:ascii="Arial" w:hAnsi="Arial"/>
          <w:sz w:val="22"/>
        </w:rPr>
        <w:t>Transmission P</w:t>
      </w:r>
      <w:r w:rsidR="00EE3C5F" w:rsidRPr="00DE6BD8">
        <w:rPr>
          <w:rFonts w:ascii="Arial" w:hAnsi="Arial"/>
          <w:sz w:val="22"/>
        </w:rPr>
        <w:t>rocedures</w:t>
      </w:r>
    </w:p>
    <w:p w:rsidR="00A56D69" w:rsidRDefault="00A56D69" w:rsidP="00A56D69">
      <w:pPr>
        <w:ind w:left="1988" w:hanging="1988"/>
        <w:jc w:val="both"/>
        <w:rPr>
          <w:rFonts w:ascii="Arial" w:hAnsi="Arial"/>
          <w:b/>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r w:rsidRPr="000A64D8">
        <w:rPr>
          <w:rFonts w:ascii="Arial" w:hAnsi="Arial"/>
          <w:b/>
          <w:sz w:val="24"/>
        </w:rPr>
        <w:t xml:space="preserve"> </w:t>
      </w:r>
    </w:p>
    <w:p w:rsidR="001D7377" w:rsidRPr="00183CB7" w:rsidRDefault="001D7377" w:rsidP="001D7377">
      <w:pPr>
        <w:pStyle w:val="Heading1"/>
      </w:pPr>
      <w:r w:rsidRPr="00183CB7">
        <w:t>Introduction</w:t>
      </w:r>
    </w:p>
    <w:p w:rsidR="008C7323" w:rsidRDefault="008C7323" w:rsidP="001D7377">
      <w:pPr>
        <w:jc w:val="both"/>
        <w:rPr>
          <w:sz w:val="24"/>
          <w:szCs w:val="24"/>
        </w:rPr>
      </w:pPr>
      <w:r w:rsidRPr="0086141D">
        <w:rPr>
          <w:sz w:val="24"/>
          <w:szCs w:val="24"/>
          <w:lang w:val="en-GB"/>
        </w:rPr>
        <w:t>I</w:t>
      </w:r>
      <w:r w:rsidR="001D7377" w:rsidRPr="0086141D">
        <w:rPr>
          <w:sz w:val="24"/>
          <w:szCs w:val="24"/>
        </w:rPr>
        <w:t>n RAN</w:t>
      </w:r>
      <w:r w:rsidRPr="0086141D">
        <w:rPr>
          <w:sz w:val="24"/>
          <w:szCs w:val="24"/>
        </w:rPr>
        <w:t xml:space="preserve"> #71, a new study item New Radio (NR) Access Technology was approved. In RAN1</w:t>
      </w:r>
      <w:r w:rsidR="00BC0B2C">
        <w:rPr>
          <w:sz w:val="24"/>
          <w:szCs w:val="24"/>
        </w:rPr>
        <w:t xml:space="preserve"> #</w:t>
      </w:r>
      <w:r w:rsidR="005544EC">
        <w:rPr>
          <w:sz w:val="24"/>
          <w:szCs w:val="24"/>
        </w:rPr>
        <w:t>88bis</w:t>
      </w:r>
      <w:r w:rsidR="001D7377" w:rsidRPr="0086141D">
        <w:rPr>
          <w:sz w:val="24"/>
          <w:szCs w:val="24"/>
        </w:rPr>
        <w:t>,</w:t>
      </w:r>
      <w:r w:rsidR="00E84501">
        <w:rPr>
          <w:sz w:val="24"/>
          <w:szCs w:val="24"/>
        </w:rPr>
        <w:t xml:space="preserve"> </w:t>
      </w:r>
      <w:r w:rsidR="00BC0B2C">
        <w:rPr>
          <w:sz w:val="24"/>
          <w:szCs w:val="24"/>
        </w:rPr>
        <w:t>t</w:t>
      </w:r>
      <w:r w:rsidR="00E11C1C">
        <w:rPr>
          <w:sz w:val="24"/>
          <w:szCs w:val="24"/>
        </w:rPr>
        <w:t>he</w:t>
      </w:r>
      <w:r w:rsidR="00BC0B2C">
        <w:rPr>
          <w:sz w:val="24"/>
          <w:szCs w:val="24"/>
        </w:rPr>
        <w:t xml:space="preserve"> following agreements</w:t>
      </w:r>
      <w:r w:rsidR="005544EC">
        <w:rPr>
          <w:sz w:val="24"/>
          <w:szCs w:val="24"/>
        </w:rPr>
        <w:t xml:space="preserve"> were made on CBGH based retransmission</w:t>
      </w:r>
      <w:r w:rsidR="00BC0B2C">
        <w:rPr>
          <w:sz w:val="24"/>
          <w:szCs w:val="24"/>
        </w:rPr>
        <w:t>.</w:t>
      </w:r>
    </w:p>
    <w:p w:rsidR="00E11C1C" w:rsidRDefault="00E11C1C" w:rsidP="00E11C1C">
      <w:pPr>
        <w:rPr>
          <w:rFonts w:eastAsia="MS Mincho"/>
          <w:b/>
          <w:sz w:val="24"/>
          <w:szCs w:val="24"/>
          <w:highlight w:val="green"/>
          <w:u w:val="single"/>
          <w:lang w:eastAsia="ja-JP"/>
        </w:rPr>
      </w:pPr>
      <w:r w:rsidRPr="00E11C1C">
        <w:rPr>
          <w:rFonts w:eastAsia="MS Mincho"/>
          <w:b/>
          <w:sz w:val="24"/>
          <w:szCs w:val="24"/>
          <w:highlight w:val="green"/>
          <w:u w:val="single"/>
          <w:lang w:eastAsia="ja-JP"/>
        </w:rPr>
        <w:t xml:space="preserve">Agreement: </w:t>
      </w:r>
    </w:p>
    <w:p w:rsidR="005544EC" w:rsidRPr="005544EC" w:rsidRDefault="005544EC" w:rsidP="005544EC">
      <w:pPr>
        <w:pStyle w:val="ListParagraph"/>
        <w:numPr>
          <w:ilvl w:val="0"/>
          <w:numId w:val="14"/>
        </w:numPr>
        <w:overflowPunct w:val="0"/>
        <w:autoSpaceDE w:val="0"/>
        <w:autoSpaceDN w:val="0"/>
        <w:adjustRightInd w:val="0"/>
        <w:spacing w:after="180"/>
        <w:contextualSpacing/>
        <w:textAlignment w:val="baseline"/>
        <w:rPr>
          <w:rFonts w:ascii="Times New Roman" w:eastAsia="MS Mincho" w:hAnsi="Times New Roman"/>
          <w:iCs/>
          <w:sz w:val="24"/>
        </w:rPr>
      </w:pPr>
      <w:r w:rsidRPr="005544EC">
        <w:rPr>
          <w:rFonts w:ascii="Times New Roman" w:eastAsia="MS Mincho" w:hAnsi="Times New Roman"/>
          <w:iCs/>
          <w:sz w:val="24"/>
        </w:rPr>
        <w:t>Confirm the working assumption as below.</w:t>
      </w:r>
    </w:p>
    <w:p w:rsidR="005544EC" w:rsidRPr="005544EC" w:rsidRDefault="005544EC" w:rsidP="005544EC">
      <w:pPr>
        <w:pStyle w:val="ListParagraph"/>
        <w:numPr>
          <w:ilvl w:val="1"/>
          <w:numId w:val="14"/>
        </w:numPr>
        <w:overflowPunct w:val="0"/>
        <w:autoSpaceDE w:val="0"/>
        <w:autoSpaceDN w:val="0"/>
        <w:adjustRightInd w:val="0"/>
        <w:spacing w:after="180"/>
        <w:contextualSpacing/>
        <w:textAlignment w:val="baseline"/>
        <w:rPr>
          <w:rFonts w:ascii="Times New Roman" w:eastAsia="MS Mincho" w:hAnsi="Times New Roman"/>
          <w:iCs/>
          <w:sz w:val="24"/>
        </w:rPr>
      </w:pPr>
      <w:r w:rsidRPr="005544EC">
        <w:rPr>
          <w:rFonts w:ascii="Times New Roman" w:eastAsia="MS Mincho" w:hAnsi="Times New Roman"/>
          <w:iCs/>
          <w:sz w:val="24"/>
        </w:rPr>
        <w:t>CBG-based transmission with single/multi-bit HARQ-ACK feedback is supported in Rel-15, which shall have the following characteristics:</w:t>
      </w:r>
    </w:p>
    <w:p w:rsidR="005544EC" w:rsidRPr="005544EC" w:rsidRDefault="005544EC" w:rsidP="005544EC">
      <w:pPr>
        <w:pStyle w:val="ListParagraph"/>
        <w:numPr>
          <w:ilvl w:val="2"/>
          <w:numId w:val="14"/>
        </w:numPr>
        <w:overflowPunct w:val="0"/>
        <w:autoSpaceDE w:val="0"/>
        <w:autoSpaceDN w:val="0"/>
        <w:adjustRightInd w:val="0"/>
        <w:spacing w:after="180"/>
        <w:contextualSpacing/>
        <w:textAlignment w:val="baseline"/>
        <w:rPr>
          <w:rFonts w:ascii="Times New Roman" w:eastAsia="MS Mincho" w:hAnsi="Times New Roman"/>
          <w:iCs/>
          <w:sz w:val="24"/>
        </w:rPr>
      </w:pPr>
      <w:r w:rsidRPr="005544EC">
        <w:rPr>
          <w:rFonts w:ascii="Times New Roman" w:eastAsia="MS Mincho" w:hAnsi="Times New Roman"/>
          <w:iCs/>
          <w:sz w:val="24"/>
        </w:rPr>
        <w:t>Only allow CBG based (re)-transmission for the same TB of a HARQ process</w:t>
      </w:r>
    </w:p>
    <w:p w:rsidR="005544EC" w:rsidRPr="005544EC" w:rsidRDefault="005544EC" w:rsidP="005544EC">
      <w:pPr>
        <w:pStyle w:val="ListParagraph"/>
        <w:numPr>
          <w:ilvl w:val="2"/>
          <w:numId w:val="14"/>
        </w:numPr>
        <w:overflowPunct w:val="0"/>
        <w:autoSpaceDE w:val="0"/>
        <w:autoSpaceDN w:val="0"/>
        <w:adjustRightInd w:val="0"/>
        <w:spacing w:after="180"/>
        <w:contextualSpacing/>
        <w:textAlignment w:val="baseline"/>
        <w:rPr>
          <w:rFonts w:ascii="Times New Roman" w:eastAsia="MS Mincho" w:hAnsi="Times New Roman"/>
          <w:iCs/>
          <w:sz w:val="24"/>
        </w:rPr>
      </w:pPr>
      <w:r w:rsidRPr="005544EC">
        <w:rPr>
          <w:rFonts w:ascii="Times New Roman" w:eastAsia="MS Mincho" w:hAnsi="Times New Roman"/>
          <w:iCs/>
          <w:sz w:val="24"/>
        </w:rPr>
        <w:t>CBG can include all CB of a TB regardless of the size of the TB – In the such case, UE reports single HARQ ACK bits for the TB</w:t>
      </w:r>
    </w:p>
    <w:p w:rsidR="005544EC" w:rsidRPr="005544EC" w:rsidRDefault="005544EC" w:rsidP="005544EC">
      <w:pPr>
        <w:pStyle w:val="ListParagraph"/>
        <w:numPr>
          <w:ilvl w:val="2"/>
          <w:numId w:val="14"/>
        </w:numPr>
        <w:overflowPunct w:val="0"/>
        <w:autoSpaceDE w:val="0"/>
        <w:autoSpaceDN w:val="0"/>
        <w:adjustRightInd w:val="0"/>
        <w:spacing w:after="180"/>
        <w:contextualSpacing/>
        <w:textAlignment w:val="baseline"/>
        <w:rPr>
          <w:rFonts w:ascii="Times New Roman" w:eastAsia="MS Mincho" w:hAnsi="Times New Roman"/>
          <w:iCs/>
          <w:sz w:val="24"/>
        </w:rPr>
      </w:pPr>
      <w:r w:rsidRPr="005544EC">
        <w:rPr>
          <w:rFonts w:ascii="Times New Roman" w:eastAsia="MS Mincho" w:hAnsi="Times New Roman"/>
          <w:iCs/>
          <w:sz w:val="24"/>
        </w:rPr>
        <w:t>CBG can include one CB</w:t>
      </w:r>
    </w:p>
    <w:p w:rsidR="005544EC" w:rsidRDefault="005544EC" w:rsidP="005544EC">
      <w:pPr>
        <w:pStyle w:val="ListParagraph"/>
        <w:numPr>
          <w:ilvl w:val="2"/>
          <w:numId w:val="14"/>
        </w:numPr>
        <w:overflowPunct w:val="0"/>
        <w:autoSpaceDE w:val="0"/>
        <w:autoSpaceDN w:val="0"/>
        <w:adjustRightInd w:val="0"/>
        <w:spacing w:after="180"/>
        <w:contextualSpacing/>
        <w:textAlignment w:val="baseline"/>
        <w:rPr>
          <w:rFonts w:ascii="Times New Roman" w:eastAsia="MS Mincho" w:hAnsi="Times New Roman"/>
          <w:iCs/>
          <w:sz w:val="24"/>
        </w:rPr>
      </w:pPr>
      <w:r w:rsidRPr="005544EC">
        <w:rPr>
          <w:rFonts w:ascii="Times New Roman" w:eastAsia="MS Mincho" w:hAnsi="Times New Roman"/>
          <w:iCs/>
          <w:sz w:val="24"/>
        </w:rPr>
        <w:t>CBG granularity is configurable</w:t>
      </w:r>
    </w:p>
    <w:p w:rsidR="005544EC" w:rsidRPr="005544EC" w:rsidRDefault="005544EC" w:rsidP="005544EC">
      <w:pPr>
        <w:pStyle w:val="ListParagraph"/>
        <w:overflowPunct w:val="0"/>
        <w:autoSpaceDE w:val="0"/>
        <w:autoSpaceDN w:val="0"/>
        <w:adjustRightInd w:val="0"/>
        <w:spacing w:after="180"/>
        <w:ind w:left="2160"/>
        <w:contextualSpacing/>
        <w:textAlignment w:val="baseline"/>
        <w:rPr>
          <w:rFonts w:ascii="Times New Roman" w:eastAsia="MS Mincho" w:hAnsi="Times New Roman"/>
          <w:iCs/>
          <w:sz w:val="24"/>
        </w:rPr>
      </w:pPr>
    </w:p>
    <w:p w:rsidR="005544EC" w:rsidRDefault="005544EC" w:rsidP="005544EC">
      <w:pPr>
        <w:pStyle w:val="ListParagraph"/>
        <w:numPr>
          <w:ilvl w:val="0"/>
          <w:numId w:val="14"/>
        </w:numPr>
        <w:overflowPunct w:val="0"/>
        <w:autoSpaceDE w:val="0"/>
        <w:autoSpaceDN w:val="0"/>
        <w:adjustRightInd w:val="0"/>
        <w:spacing w:after="180"/>
        <w:contextualSpacing/>
        <w:textAlignment w:val="baseline"/>
        <w:rPr>
          <w:rFonts w:ascii="Times New Roman" w:eastAsia="MS Mincho" w:hAnsi="Times New Roman"/>
          <w:iCs/>
          <w:sz w:val="24"/>
          <w:szCs w:val="24"/>
        </w:rPr>
      </w:pPr>
      <w:r w:rsidRPr="005544EC">
        <w:rPr>
          <w:rFonts w:ascii="Times New Roman" w:eastAsia="MS Mincho" w:hAnsi="Times New Roman"/>
          <w:iCs/>
          <w:sz w:val="24"/>
          <w:szCs w:val="24"/>
        </w:rPr>
        <w:t>The UE is semi-statically configured by RRC signaling to enable CBG-based retransmission.</w:t>
      </w:r>
    </w:p>
    <w:p w:rsidR="005544EC" w:rsidRPr="005544EC" w:rsidRDefault="005544EC" w:rsidP="005544EC">
      <w:pPr>
        <w:pStyle w:val="ListParagraph"/>
        <w:numPr>
          <w:ilvl w:val="0"/>
          <w:numId w:val="14"/>
        </w:numPr>
        <w:overflowPunct w:val="0"/>
        <w:autoSpaceDE w:val="0"/>
        <w:autoSpaceDN w:val="0"/>
        <w:adjustRightInd w:val="0"/>
        <w:spacing w:after="180"/>
        <w:contextualSpacing/>
        <w:textAlignment w:val="baseline"/>
        <w:rPr>
          <w:rFonts w:ascii="Times New Roman" w:eastAsia="MS Mincho" w:hAnsi="Times New Roman"/>
          <w:iCs/>
          <w:sz w:val="24"/>
          <w:szCs w:val="24"/>
        </w:rPr>
      </w:pPr>
      <w:r w:rsidRPr="005544EC">
        <w:rPr>
          <w:rFonts w:ascii="Times New Roman" w:eastAsia="MS Mincho" w:hAnsi="Times New Roman"/>
          <w:iCs/>
          <w:sz w:val="24"/>
          <w:szCs w:val="24"/>
        </w:rPr>
        <w:t>The above semi-static configuration to enable CBG-based retransmission is separate for DL and UL.</w:t>
      </w:r>
    </w:p>
    <w:p w:rsidR="005544EC" w:rsidRPr="005544EC" w:rsidRDefault="005544EC" w:rsidP="005544EC">
      <w:pPr>
        <w:pStyle w:val="ListParagraph"/>
        <w:numPr>
          <w:ilvl w:val="0"/>
          <w:numId w:val="13"/>
        </w:numPr>
        <w:overflowPunct w:val="0"/>
        <w:autoSpaceDE w:val="0"/>
        <w:autoSpaceDN w:val="0"/>
        <w:adjustRightInd w:val="0"/>
        <w:spacing w:after="180"/>
        <w:contextualSpacing/>
        <w:textAlignment w:val="baseline"/>
        <w:rPr>
          <w:rFonts w:ascii="Times New Roman" w:eastAsia="MS Mincho" w:hAnsi="Times New Roman"/>
          <w:iCs/>
          <w:sz w:val="24"/>
          <w:szCs w:val="24"/>
        </w:rPr>
      </w:pPr>
      <w:r w:rsidRPr="005544EC">
        <w:rPr>
          <w:rFonts w:ascii="Times New Roman" w:eastAsia="MS Mincho" w:hAnsi="Times New Roman"/>
          <w:iCs/>
          <w:sz w:val="24"/>
          <w:szCs w:val="24"/>
        </w:rPr>
        <w:t>For grouping CB(s) into CBG(s), the following options can be considered.</w:t>
      </w:r>
    </w:p>
    <w:p w:rsidR="005544EC" w:rsidRPr="005544EC" w:rsidRDefault="005544EC" w:rsidP="005544EC">
      <w:pPr>
        <w:pStyle w:val="ListParagraph"/>
        <w:numPr>
          <w:ilvl w:val="1"/>
          <w:numId w:val="13"/>
        </w:numPr>
        <w:overflowPunct w:val="0"/>
        <w:autoSpaceDE w:val="0"/>
        <w:autoSpaceDN w:val="0"/>
        <w:adjustRightInd w:val="0"/>
        <w:spacing w:after="180"/>
        <w:contextualSpacing/>
        <w:textAlignment w:val="baseline"/>
        <w:rPr>
          <w:rFonts w:ascii="Times New Roman" w:eastAsia="MS Mincho" w:hAnsi="Times New Roman"/>
          <w:iCs/>
          <w:sz w:val="24"/>
          <w:szCs w:val="24"/>
        </w:rPr>
      </w:pPr>
      <w:r w:rsidRPr="005544EC">
        <w:rPr>
          <w:rFonts w:ascii="Times New Roman" w:eastAsia="MS Mincho" w:hAnsi="Times New Roman"/>
          <w:iCs/>
          <w:sz w:val="24"/>
          <w:szCs w:val="24"/>
        </w:rPr>
        <w:t>Option 1: With configured number of CBGs, the number of CBs in a CBG changes according to TBS.</w:t>
      </w:r>
    </w:p>
    <w:p w:rsidR="005544EC" w:rsidRPr="005544EC" w:rsidRDefault="005544EC" w:rsidP="005544EC">
      <w:pPr>
        <w:pStyle w:val="ListParagraph"/>
        <w:numPr>
          <w:ilvl w:val="2"/>
          <w:numId w:val="13"/>
        </w:numPr>
        <w:overflowPunct w:val="0"/>
        <w:autoSpaceDE w:val="0"/>
        <w:autoSpaceDN w:val="0"/>
        <w:adjustRightInd w:val="0"/>
        <w:spacing w:after="180"/>
        <w:contextualSpacing/>
        <w:textAlignment w:val="baseline"/>
        <w:rPr>
          <w:rFonts w:ascii="Times New Roman" w:eastAsia="MS Mincho" w:hAnsi="Times New Roman"/>
          <w:iCs/>
          <w:sz w:val="24"/>
          <w:szCs w:val="24"/>
        </w:rPr>
      </w:pPr>
      <w:r w:rsidRPr="005544EC">
        <w:rPr>
          <w:rFonts w:ascii="Times New Roman" w:eastAsia="MS Mincho" w:hAnsi="Times New Roman"/>
          <w:iCs/>
          <w:sz w:val="24"/>
          <w:szCs w:val="24"/>
        </w:rPr>
        <w:t>FFS for the case of re-transmission or the case when the number of CBs is smaller than the configured number of CBGs</w:t>
      </w:r>
    </w:p>
    <w:p w:rsidR="005544EC" w:rsidRPr="005544EC" w:rsidRDefault="005544EC" w:rsidP="005544EC">
      <w:pPr>
        <w:pStyle w:val="ListParagraph"/>
        <w:numPr>
          <w:ilvl w:val="1"/>
          <w:numId w:val="13"/>
        </w:numPr>
        <w:overflowPunct w:val="0"/>
        <w:autoSpaceDE w:val="0"/>
        <w:autoSpaceDN w:val="0"/>
        <w:adjustRightInd w:val="0"/>
        <w:spacing w:after="180"/>
        <w:contextualSpacing/>
        <w:textAlignment w:val="baseline"/>
        <w:rPr>
          <w:rFonts w:ascii="Times New Roman" w:eastAsia="MS Mincho" w:hAnsi="Times New Roman"/>
          <w:iCs/>
          <w:sz w:val="24"/>
          <w:szCs w:val="24"/>
        </w:rPr>
      </w:pPr>
      <w:r w:rsidRPr="005544EC">
        <w:rPr>
          <w:rFonts w:ascii="Times New Roman" w:eastAsia="MS Mincho" w:hAnsi="Times New Roman"/>
          <w:iCs/>
          <w:sz w:val="24"/>
          <w:szCs w:val="24"/>
        </w:rPr>
        <w:t>Option 2: With configured number of CBs per CBG, the number of CBGs changes according to TBS.</w:t>
      </w:r>
    </w:p>
    <w:p w:rsidR="005544EC" w:rsidRPr="005544EC" w:rsidRDefault="005544EC" w:rsidP="005544EC">
      <w:pPr>
        <w:pStyle w:val="ListParagraph"/>
        <w:numPr>
          <w:ilvl w:val="1"/>
          <w:numId w:val="13"/>
        </w:numPr>
        <w:overflowPunct w:val="0"/>
        <w:autoSpaceDE w:val="0"/>
        <w:autoSpaceDN w:val="0"/>
        <w:adjustRightInd w:val="0"/>
        <w:spacing w:after="180"/>
        <w:contextualSpacing/>
        <w:textAlignment w:val="baseline"/>
        <w:rPr>
          <w:rFonts w:ascii="Times New Roman" w:eastAsia="MS Mincho" w:hAnsi="Times New Roman"/>
          <w:iCs/>
          <w:sz w:val="24"/>
          <w:szCs w:val="24"/>
        </w:rPr>
      </w:pPr>
      <w:r w:rsidRPr="005544EC">
        <w:rPr>
          <w:rFonts w:ascii="Times New Roman" w:eastAsia="MS Mincho" w:hAnsi="Times New Roman"/>
          <w:iCs/>
          <w:sz w:val="24"/>
          <w:szCs w:val="24"/>
        </w:rPr>
        <w:t>Option 3: The number of CBGs and/or the number CBs per CBG are defined according to TBS.</w:t>
      </w:r>
    </w:p>
    <w:p w:rsidR="005544EC" w:rsidRPr="005544EC" w:rsidRDefault="005544EC" w:rsidP="005544EC">
      <w:pPr>
        <w:pStyle w:val="ListParagraph"/>
        <w:numPr>
          <w:ilvl w:val="2"/>
          <w:numId w:val="13"/>
        </w:numPr>
        <w:overflowPunct w:val="0"/>
        <w:autoSpaceDE w:val="0"/>
        <w:autoSpaceDN w:val="0"/>
        <w:adjustRightInd w:val="0"/>
        <w:spacing w:after="180"/>
        <w:contextualSpacing/>
        <w:textAlignment w:val="baseline"/>
        <w:rPr>
          <w:rFonts w:ascii="Times New Roman" w:eastAsia="MS Mincho" w:hAnsi="Times New Roman"/>
          <w:iCs/>
          <w:sz w:val="24"/>
          <w:szCs w:val="24"/>
        </w:rPr>
      </w:pPr>
      <w:r w:rsidRPr="005544EC">
        <w:rPr>
          <w:rFonts w:ascii="Times New Roman" w:eastAsia="MS Mincho" w:hAnsi="Times New Roman"/>
          <w:iCs/>
          <w:sz w:val="24"/>
          <w:szCs w:val="24"/>
        </w:rPr>
        <w:t>FFS: for the case of re-transmission</w:t>
      </w:r>
    </w:p>
    <w:p w:rsidR="005544EC" w:rsidRPr="005544EC" w:rsidRDefault="005544EC" w:rsidP="005544EC">
      <w:pPr>
        <w:pStyle w:val="ListParagraph"/>
        <w:numPr>
          <w:ilvl w:val="1"/>
          <w:numId w:val="13"/>
        </w:numPr>
        <w:overflowPunct w:val="0"/>
        <w:autoSpaceDE w:val="0"/>
        <w:autoSpaceDN w:val="0"/>
        <w:adjustRightInd w:val="0"/>
        <w:spacing w:after="180"/>
        <w:contextualSpacing/>
        <w:textAlignment w:val="baseline"/>
        <w:rPr>
          <w:rFonts w:ascii="Times New Roman" w:eastAsia="MS Mincho" w:hAnsi="Times New Roman"/>
          <w:iCs/>
          <w:sz w:val="24"/>
          <w:szCs w:val="24"/>
        </w:rPr>
      </w:pPr>
      <w:r w:rsidRPr="005544EC">
        <w:rPr>
          <w:rFonts w:ascii="Times New Roman" w:eastAsia="MS Mincho" w:hAnsi="Times New Roman"/>
          <w:iCs/>
          <w:sz w:val="24"/>
          <w:szCs w:val="24"/>
        </w:rPr>
        <w:t>FFS on details of each option</w:t>
      </w:r>
    </w:p>
    <w:p w:rsidR="005544EC" w:rsidRPr="005544EC" w:rsidRDefault="005544EC" w:rsidP="005544EC">
      <w:pPr>
        <w:pStyle w:val="ListParagraph"/>
        <w:numPr>
          <w:ilvl w:val="1"/>
          <w:numId w:val="13"/>
        </w:numPr>
        <w:overflowPunct w:val="0"/>
        <w:autoSpaceDE w:val="0"/>
        <w:autoSpaceDN w:val="0"/>
        <w:adjustRightInd w:val="0"/>
        <w:spacing w:after="180"/>
        <w:contextualSpacing/>
        <w:textAlignment w:val="baseline"/>
        <w:rPr>
          <w:rFonts w:ascii="Times New Roman" w:eastAsia="MS Mincho" w:hAnsi="Times New Roman"/>
          <w:iCs/>
          <w:sz w:val="24"/>
          <w:szCs w:val="24"/>
        </w:rPr>
      </w:pPr>
      <w:r w:rsidRPr="005544EC">
        <w:rPr>
          <w:rFonts w:ascii="Times New Roman" w:eastAsia="MS Mincho" w:hAnsi="Times New Roman"/>
          <w:iCs/>
          <w:sz w:val="24"/>
          <w:szCs w:val="24"/>
        </w:rPr>
        <w:t>FFS: CBG is approximately aligned with symbol(s)</w:t>
      </w:r>
    </w:p>
    <w:p w:rsidR="005544EC" w:rsidRPr="005544EC" w:rsidRDefault="005544EC" w:rsidP="005544EC">
      <w:pPr>
        <w:pStyle w:val="ListParagraph"/>
        <w:numPr>
          <w:ilvl w:val="1"/>
          <w:numId w:val="13"/>
        </w:numPr>
        <w:overflowPunct w:val="0"/>
        <w:autoSpaceDE w:val="0"/>
        <w:autoSpaceDN w:val="0"/>
        <w:adjustRightInd w:val="0"/>
        <w:spacing w:after="180"/>
        <w:contextualSpacing/>
        <w:textAlignment w:val="baseline"/>
        <w:rPr>
          <w:rFonts w:ascii="Times New Roman" w:eastAsia="MS Mincho" w:hAnsi="Times New Roman"/>
          <w:iCs/>
          <w:sz w:val="24"/>
          <w:szCs w:val="24"/>
        </w:rPr>
      </w:pPr>
      <w:r w:rsidRPr="005544EC">
        <w:rPr>
          <w:rFonts w:ascii="Times New Roman" w:eastAsia="MS Mincho" w:hAnsi="Times New Roman"/>
          <w:iCs/>
          <w:sz w:val="24"/>
          <w:szCs w:val="24"/>
        </w:rPr>
        <w:t>Other options are not precluded</w:t>
      </w:r>
    </w:p>
    <w:p w:rsidR="00AB7637" w:rsidRDefault="00AB7637" w:rsidP="00BC0B2C">
      <w:pPr>
        <w:overflowPunct/>
        <w:autoSpaceDE/>
        <w:autoSpaceDN/>
        <w:adjustRightInd/>
        <w:spacing w:after="0"/>
        <w:jc w:val="both"/>
        <w:textAlignment w:val="auto"/>
        <w:rPr>
          <w:sz w:val="24"/>
          <w:szCs w:val="24"/>
        </w:rPr>
      </w:pPr>
    </w:p>
    <w:p w:rsidR="00250D87" w:rsidRPr="00E11C1C" w:rsidRDefault="007945A4" w:rsidP="00BC0B2C">
      <w:pPr>
        <w:overflowPunct/>
        <w:autoSpaceDE/>
        <w:autoSpaceDN/>
        <w:adjustRightInd/>
        <w:spacing w:after="0"/>
        <w:jc w:val="both"/>
        <w:textAlignment w:val="auto"/>
        <w:rPr>
          <w:rFonts w:eastAsia="MS Mincho"/>
          <w:sz w:val="24"/>
          <w:szCs w:val="24"/>
          <w:lang w:eastAsia="ja-JP"/>
        </w:rPr>
      </w:pPr>
      <w:r>
        <w:rPr>
          <w:sz w:val="24"/>
          <w:szCs w:val="24"/>
        </w:rPr>
        <w:t xml:space="preserve">It can be observed that there are many open issues in CBG based retransmission schemes. </w:t>
      </w:r>
      <w:r w:rsidR="004D338B">
        <w:rPr>
          <w:sz w:val="24"/>
          <w:szCs w:val="24"/>
        </w:rPr>
        <w:t>In this contribution, we describe our views on th</w:t>
      </w:r>
      <w:r>
        <w:rPr>
          <w:sz w:val="24"/>
          <w:szCs w:val="24"/>
        </w:rPr>
        <w:t xml:space="preserve">e CBG based transmission and </w:t>
      </w:r>
      <w:r w:rsidR="00132041">
        <w:rPr>
          <w:sz w:val="24"/>
          <w:szCs w:val="24"/>
        </w:rPr>
        <w:t>retransmission procedures</w:t>
      </w:r>
      <w:r>
        <w:rPr>
          <w:sz w:val="24"/>
          <w:szCs w:val="24"/>
        </w:rPr>
        <w:t>.</w:t>
      </w:r>
    </w:p>
    <w:p w:rsidR="001D7377" w:rsidRDefault="004A05F1" w:rsidP="001D7377">
      <w:pPr>
        <w:pStyle w:val="Heading1"/>
      </w:pPr>
      <w:r>
        <w:lastRenderedPageBreak/>
        <w:t xml:space="preserve">Grouping of CB(s) into CBG(s) </w:t>
      </w:r>
    </w:p>
    <w:p w:rsidR="00006144" w:rsidRDefault="00006144" w:rsidP="006C32C4">
      <w:pPr>
        <w:jc w:val="both"/>
        <w:rPr>
          <w:color w:val="000000" w:themeColor="text1"/>
          <w:sz w:val="24"/>
          <w:szCs w:val="24"/>
        </w:rPr>
      </w:pPr>
      <w:bookmarkStart w:id="1" w:name="_Ref378529477"/>
      <w:r>
        <w:rPr>
          <w:color w:val="000000" w:themeColor="text1"/>
          <w:sz w:val="24"/>
          <w:szCs w:val="24"/>
        </w:rPr>
        <w:t>In this section we analyze the four options of grouping CB(s) into CBG(s). The options are</w:t>
      </w:r>
    </w:p>
    <w:p w:rsidR="00006144" w:rsidRPr="00006144" w:rsidRDefault="00006144" w:rsidP="00006144">
      <w:pPr>
        <w:pStyle w:val="ListParagraph"/>
        <w:numPr>
          <w:ilvl w:val="0"/>
          <w:numId w:val="13"/>
        </w:numPr>
        <w:overflowPunct w:val="0"/>
        <w:autoSpaceDE w:val="0"/>
        <w:autoSpaceDN w:val="0"/>
        <w:adjustRightInd w:val="0"/>
        <w:spacing w:after="180"/>
        <w:contextualSpacing/>
        <w:textAlignment w:val="baseline"/>
        <w:rPr>
          <w:rFonts w:ascii="Times New Roman" w:eastAsia="MS Mincho" w:hAnsi="Times New Roman"/>
          <w:iCs/>
          <w:sz w:val="24"/>
          <w:szCs w:val="24"/>
        </w:rPr>
      </w:pPr>
      <w:r w:rsidRPr="00006144">
        <w:rPr>
          <w:rFonts w:ascii="Times New Roman" w:hAnsi="Times New Roman"/>
          <w:b/>
          <w:color w:val="000000" w:themeColor="text1"/>
          <w:sz w:val="24"/>
          <w:szCs w:val="24"/>
        </w:rPr>
        <w:t>Option 1:</w:t>
      </w:r>
      <w:r w:rsidRPr="00006144">
        <w:rPr>
          <w:rFonts w:ascii="Times New Roman" w:eastAsia="MS Mincho" w:hAnsi="Times New Roman"/>
          <w:iCs/>
          <w:sz w:val="24"/>
          <w:szCs w:val="24"/>
        </w:rPr>
        <w:t xml:space="preserve"> </w:t>
      </w:r>
      <w:r w:rsidRPr="00006144">
        <w:rPr>
          <w:rFonts w:ascii="Times New Roman" w:eastAsia="MS Mincho" w:hAnsi="Times New Roman"/>
          <w:iCs/>
          <w:sz w:val="24"/>
          <w:szCs w:val="24"/>
        </w:rPr>
        <w:t>With configured number of CBGs, the number of CBs in a CBG changes according to TBS.</w:t>
      </w:r>
    </w:p>
    <w:p w:rsidR="00006144" w:rsidRPr="00006144" w:rsidRDefault="00006144" w:rsidP="00006144">
      <w:pPr>
        <w:pStyle w:val="ListParagraph"/>
        <w:numPr>
          <w:ilvl w:val="0"/>
          <w:numId w:val="13"/>
        </w:numPr>
        <w:overflowPunct w:val="0"/>
        <w:autoSpaceDE w:val="0"/>
        <w:autoSpaceDN w:val="0"/>
        <w:adjustRightInd w:val="0"/>
        <w:spacing w:after="180"/>
        <w:contextualSpacing/>
        <w:textAlignment w:val="baseline"/>
        <w:rPr>
          <w:rFonts w:ascii="Times New Roman" w:eastAsia="MS Mincho" w:hAnsi="Times New Roman"/>
          <w:iCs/>
          <w:sz w:val="24"/>
          <w:szCs w:val="24"/>
        </w:rPr>
      </w:pPr>
      <w:r w:rsidRPr="00006144">
        <w:rPr>
          <w:rFonts w:ascii="Times New Roman" w:hAnsi="Times New Roman"/>
          <w:b/>
          <w:color w:val="000000" w:themeColor="text1"/>
          <w:sz w:val="24"/>
          <w:szCs w:val="24"/>
        </w:rPr>
        <w:t>Option 2:</w:t>
      </w:r>
      <w:r w:rsidRPr="00006144">
        <w:rPr>
          <w:rFonts w:ascii="Times New Roman" w:eastAsia="MS Mincho" w:hAnsi="Times New Roman"/>
          <w:iCs/>
          <w:sz w:val="24"/>
          <w:szCs w:val="24"/>
        </w:rPr>
        <w:t xml:space="preserve"> </w:t>
      </w:r>
      <w:r w:rsidRPr="00006144">
        <w:rPr>
          <w:rFonts w:ascii="Times New Roman" w:eastAsia="MS Mincho" w:hAnsi="Times New Roman"/>
          <w:iCs/>
          <w:sz w:val="24"/>
          <w:szCs w:val="24"/>
        </w:rPr>
        <w:t>With configured number of CBs per CBG, the number of CBGs changes according to TBS.</w:t>
      </w:r>
    </w:p>
    <w:p w:rsidR="00006144" w:rsidRPr="00006144" w:rsidRDefault="00006144" w:rsidP="00006144">
      <w:pPr>
        <w:pStyle w:val="ListParagraph"/>
        <w:numPr>
          <w:ilvl w:val="0"/>
          <w:numId w:val="13"/>
        </w:numPr>
        <w:overflowPunct w:val="0"/>
        <w:autoSpaceDE w:val="0"/>
        <w:autoSpaceDN w:val="0"/>
        <w:adjustRightInd w:val="0"/>
        <w:spacing w:after="180"/>
        <w:contextualSpacing/>
        <w:textAlignment w:val="baseline"/>
        <w:rPr>
          <w:rFonts w:ascii="Times New Roman" w:eastAsia="MS Mincho" w:hAnsi="Times New Roman"/>
          <w:iCs/>
          <w:sz w:val="24"/>
          <w:szCs w:val="24"/>
        </w:rPr>
      </w:pPr>
      <w:r w:rsidRPr="00006144">
        <w:rPr>
          <w:rFonts w:ascii="Times New Roman" w:hAnsi="Times New Roman"/>
          <w:b/>
          <w:color w:val="000000" w:themeColor="text1"/>
          <w:sz w:val="24"/>
          <w:szCs w:val="24"/>
        </w:rPr>
        <w:t>Option 3:</w:t>
      </w:r>
      <w:r w:rsidRPr="00006144">
        <w:rPr>
          <w:rFonts w:ascii="Times New Roman" w:hAnsi="Times New Roman"/>
          <w:color w:val="000000" w:themeColor="text1"/>
          <w:sz w:val="24"/>
          <w:szCs w:val="24"/>
        </w:rPr>
        <w:t xml:space="preserve"> </w:t>
      </w:r>
      <w:r w:rsidRPr="00006144">
        <w:rPr>
          <w:rFonts w:ascii="Times New Roman" w:eastAsia="MS Mincho" w:hAnsi="Times New Roman"/>
          <w:iCs/>
          <w:sz w:val="24"/>
          <w:szCs w:val="24"/>
        </w:rPr>
        <w:t>The number of CBGs and/or the number CBs per CBG are defined according to TBS.</w:t>
      </w:r>
    </w:p>
    <w:p w:rsidR="00006144" w:rsidRPr="00006144" w:rsidRDefault="00006144" w:rsidP="00006144">
      <w:pPr>
        <w:pStyle w:val="ListParagraph"/>
        <w:numPr>
          <w:ilvl w:val="0"/>
          <w:numId w:val="13"/>
        </w:numPr>
        <w:overflowPunct w:val="0"/>
        <w:autoSpaceDE w:val="0"/>
        <w:autoSpaceDN w:val="0"/>
        <w:adjustRightInd w:val="0"/>
        <w:spacing w:after="180"/>
        <w:contextualSpacing/>
        <w:textAlignment w:val="baseline"/>
        <w:rPr>
          <w:rFonts w:ascii="Times New Roman" w:eastAsia="MS Mincho" w:hAnsi="Times New Roman"/>
          <w:iCs/>
          <w:sz w:val="24"/>
          <w:szCs w:val="24"/>
        </w:rPr>
      </w:pPr>
      <w:r w:rsidRPr="00006144">
        <w:rPr>
          <w:rFonts w:ascii="Times New Roman" w:hAnsi="Times New Roman"/>
          <w:b/>
          <w:color w:val="000000" w:themeColor="text1"/>
          <w:sz w:val="24"/>
          <w:szCs w:val="24"/>
        </w:rPr>
        <w:t>Option 4:</w:t>
      </w:r>
      <w:r w:rsidRPr="00006144">
        <w:rPr>
          <w:rFonts w:ascii="Times New Roman" w:hAnsi="Times New Roman"/>
          <w:color w:val="000000" w:themeColor="text1"/>
          <w:sz w:val="24"/>
          <w:szCs w:val="24"/>
        </w:rPr>
        <w:t xml:space="preserve"> </w:t>
      </w:r>
      <w:r w:rsidRPr="00006144">
        <w:rPr>
          <w:rFonts w:ascii="Times New Roman" w:eastAsia="MS Mincho" w:hAnsi="Times New Roman"/>
          <w:iCs/>
          <w:sz w:val="24"/>
          <w:szCs w:val="24"/>
        </w:rPr>
        <w:t>CBG is approximately aligned with symbol(s)</w:t>
      </w:r>
    </w:p>
    <w:p w:rsidR="00AF0AF0" w:rsidRPr="00D41C4B" w:rsidRDefault="00AF0AF0" w:rsidP="006C32C4">
      <w:pPr>
        <w:jc w:val="both"/>
        <w:rPr>
          <w:rFonts w:cs="Arial"/>
          <w:noProof/>
          <w:color w:val="000000"/>
          <w:sz w:val="24"/>
          <w:szCs w:val="24"/>
          <w:lang w:eastAsia="sv-SE"/>
        </w:rPr>
      </w:pPr>
      <w:r w:rsidRPr="00D41C4B">
        <w:rPr>
          <w:color w:val="000000" w:themeColor="text1"/>
          <w:sz w:val="24"/>
          <w:szCs w:val="24"/>
        </w:rPr>
        <w:t>In previous RAN1 meetings, CBG based transmission/retransmission is mainly focused on URLLC multiplexing with eMBB data. In our view, CBG based transmission/retransmission is not only applicable to eMBB+URLL</w:t>
      </w:r>
      <w:r w:rsidR="00D41C4B" w:rsidRPr="00D41C4B">
        <w:rPr>
          <w:color w:val="000000" w:themeColor="text1"/>
          <w:sz w:val="24"/>
          <w:szCs w:val="24"/>
        </w:rPr>
        <w:t>C</w:t>
      </w:r>
      <w:r w:rsidRPr="00D41C4B">
        <w:rPr>
          <w:color w:val="000000" w:themeColor="text1"/>
          <w:sz w:val="24"/>
          <w:szCs w:val="24"/>
        </w:rPr>
        <w:t xml:space="preserve"> only, rather it </w:t>
      </w:r>
      <w:r w:rsidR="00A975EA" w:rsidRPr="00D41C4B">
        <w:rPr>
          <w:color w:val="000000" w:themeColor="text1"/>
          <w:sz w:val="24"/>
          <w:szCs w:val="24"/>
        </w:rPr>
        <w:t>should be</w:t>
      </w:r>
      <w:r w:rsidRPr="00D41C4B">
        <w:rPr>
          <w:color w:val="000000" w:themeColor="text1"/>
          <w:sz w:val="24"/>
          <w:szCs w:val="24"/>
        </w:rPr>
        <w:t xml:space="preserve"> viewed as tool to improve the performance of eMBB</w:t>
      </w:r>
      <w:r w:rsidR="00D41C4B" w:rsidRPr="00D41C4B">
        <w:rPr>
          <w:color w:val="000000" w:themeColor="text1"/>
          <w:sz w:val="24"/>
          <w:szCs w:val="24"/>
        </w:rPr>
        <w:t xml:space="preserve"> without any URLLC</w:t>
      </w:r>
      <w:r w:rsidRPr="00D41C4B">
        <w:rPr>
          <w:color w:val="000000" w:themeColor="text1"/>
          <w:sz w:val="24"/>
          <w:szCs w:val="24"/>
        </w:rPr>
        <w:t>.</w:t>
      </w:r>
      <w:r w:rsidR="00B24D32">
        <w:rPr>
          <w:color w:val="000000" w:themeColor="text1"/>
          <w:sz w:val="24"/>
          <w:szCs w:val="24"/>
        </w:rPr>
        <w:t xml:space="preserve">  CBG based transmission/retransmission should be designed such that it</w:t>
      </w:r>
      <w:r w:rsidRPr="00D41C4B">
        <w:rPr>
          <w:color w:val="000000" w:themeColor="text1"/>
          <w:sz w:val="24"/>
          <w:szCs w:val="24"/>
        </w:rPr>
        <w:t xml:space="preserve"> </w:t>
      </w:r>
      <w:r w:rsidR="00B24D32">
        <w:rPr>
          <w:color w:val="000000" w:themeColor="text1"/>
          <w:sz w:val="24"/>
          <w:szCs w:val="24"/>
        </w:rPr>
        <w:t xml:space="preserve">gives flexibility to the systems design for improving the performance at the same time reduces the feedback channel overhead. </w:t>
      </w:r>
      <w:r w:rsidRPr="00D41C4B">
        <w:rPr>
          <w:color w:val="000000" w:themeColor="text1"/>
          <w:sz w:val="24"/>
          <w:szCs w:val="24"/>
        </w:rPr>
        <w:t>F</w:t>
      </w:r>
      <w:r w:rsidR="00D41C4B" w:rsidRPr="00D41C4B">
        <w:rPr>
          <w:color w:val="000000" w:themeColor="text1"/>
          <w:sz w:val="24"/>
          <w:szCs w:val="24"/>
        </w:rPr>
        <w:t>or example</w:t>
      </w:r>
      <w:r w:rsidR="00D41C4B">
        <w:rPr>
          <w:color w:val="000000" w:themeColor="text1"/>
          <w:sz w:val="24"/>
          <w:szCs w:val="24"/>
        </w:rPr>
        <w:t xml:space="preserve"> in eMBB systems, </w:t>
      </w:r>
      <w:r w:rsidR="00D41C4B" w:rsidRPr="00D41C4B">
        <w:rPr>
          <w:rFonts w:cs="Arial"/>
          <w:noProof/>
          <w:color w:val="000000"/>
          <w:sz w:val="24"/>
          <w:szCs w:val="24"/>
          <w:lang w:eastAsia="sv-SE"/>
        </w:rPr>
        <w:t xml:space="preserve">Figures </w:t>
      </w:r>
      <w:r w:rsidR="00D41C4B" w:rsidRPr="00D41C4B">
        <w:rPr>
          <w:rFonts w:cs="Arial"/>
          <w:noProof/>
          <w:color w:val="000000"/>
          <w:sz w:val="24"/>
          <w:szCs w:val="24"/>
          <w:lang w:eastAsia="sv-SE"/>
        </w:rPr>
        <w:t>1, 2, and 3</w:t>
      </w:r>
      <w:r w:rsidR="00D41C4B" w:rsidRPr="00D41C4B">
        <w:rPr>
          <w:rFonts w:cs="Arial"/>
          <w:noProof/>
          <w:color w:val="000000"/>
          <w:sz w:val="24"/>
          <w:szCs w:val="24"/>
          <w:lang w:eastAsia="sv-SE"/>
        </w:rPr>
        <w:t xml:space="preserve"> shows the prpbability of failure</w:t>
      </w:r>
      <w:r w:rsidR="00D41C4B" w:rsidRPr="00D41C4B">
        <w:rPr>
          <w:rFonts w:cs="Arial"/>
          <w:noProof/>
          <w:color w:val="000000"/>
          <w:sz w:val="24"/>
          <w:szCs w:val="24"/>
          <w:lang w:eastAsia="sv-SE"/>
        </w:rPr>
        <w:t xml:space="preserve"> of one codeblock segment </w:t>
      </w:r>
      <w:r w:rsidR="00E821CD">
        <w:rPr>
          <w:rFonts w:cs="Arial"/>
          <w:noProof/>
          <w:color w:val="000000"/>
          <w:sz w:val="24"/>
          <w:szCs w:val="24"/>
          <w:lang w:eastAsia="sv-SE"/>
        </w:rPr>
        <w:t xml:space="preserve">while the rest of the codeblock segments are passed </w:t>
      </w:r>
      <w:r w:rsidR="00D41C4B" w:rsidRPr="00D41C4B">
        <w:rPr>
          <w:rFonts w:cs="Arial"/>
          <w:noProof/>
          <w:color w:val="000000"/>
          <w:sz w:val="24"/>
          <w:szCs w:val="24"/>
          <w:lang w:eastAsia="sv-SE"/>
        </w:rPr>
        <w:t>at 4.5 GH</w:t>
      </w:r>
      <w:r w:rsidR="00D41C4B" w:rsidRPr="00D41C4B">
        <w:rPr>
          <w:rFonts w:cs="Arial"/>
          <w:noProof/>
          <w:color w:val="000000"/>
          <w:sz w:val="24"/>
          <w:szCs w:val="24"/>
          <w:lang w:eastAsia="sv-SE"/>
        </w:rPr>
        <w:t xml:space="preserve">z frequency </w:t>
      </w:r>
      <w:r w:rsidR="00D41C4B">
        <w:rPr>
          <w:rFonts w:cs="Arial"/>
          <w:noProof/>
          <w:color w:val="000000"/>
          <w:sz w:val="24"/>
          <w:szCs w:val="24"/>
          <w:lang w:eastAsia="sv-SE"/>
        </w:rPr>
        <w:t>at high, medium and low SNRs respectively</w:t>
      </w:r>
      <w:r w:rsidR="00E821CD">
        <w:rPr>
          <w:rFonts w:cs="Arial"/>
          <w:noProof/>
          <w:color w:val="000000"/>
          <w:sz w:val="24"/>
          <w:szCs w:val="24"/>
          <w:lang w:eastAsia="sv-SE"/>
        </w:rPr>
        <w:t xml:space="preserve"> for 4X4 MIMO system</w:t>
      </w:r>
      <w:r w:rsidR="00D41C4B">
        <w:rPr>
          <w:rFonts w:cs="Arial"/>
          <w:noProof/>
          <w:color w:val="000000"/>
          <w:sz w:val="24"/>
          <w:szCs w:val="24"/>
          <w:lang w:eastAsia="sv-SE"/>
        </w:rPr>
        <w:t>.</w:t>
      </w:r>
    </w:p>
    <w:p w:rsidR="00A975EA" w:rsidRDefault="00A975EA" w:rsidP="00A975EA">
      <w:pPr>
        <w:keepNext/>
        <w:jc w:val="both"/>
        <w:rPr>
          <w:rFonts w:cs="Arial"/>
          <w:noProof/>
          <w:color w:val="000000"/>
          <w:sz w:val="28"/>
          <w:szCs w:val="28"/>
          <w:lang w:val="sv-SE" w:eastAsia="sv-SE"/>
        </w:rPr>
      </w:pPr>
      <w:r w:rsidRPr="004943BD">
        <w:rPr>
          <w:rFonts w:cs="Arial"/>
          <w:noProof/>
          <w:color w:val="000000"/>
          <w:sz w:val="28"/>
          <w:szCs w:val="28"/>
        </w:rPr>
        <w:drawing>
          <wp:inline distT="0" distB="0" distL="0" distR="0" wp14:anchorId="42240390" wp14:editId="7AA97A22">
            <wp:extent cx="5120640" cy="3840480"/>
            <wp:effectExtent l="0" t="0" r="3810" b="762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120640" cy="3840480"/>
                    </a:xfrm>
                    <a:prstGeom prst="rect">
                      <a:avLst/>
                    </a:prstGeom>
                  </pic:spPr>
                </pic:pic>
              </a:graphicData>
            </a:graphic>
          </wp:inline>
        </w:drawing>
      </w:r>
    </w:p>
    <w:p w:rsidR="00A975EA" w:rsidRDefault="00A975EA" w:rsidP="00A975EA">
      <w:pPr>
        <w:keepNext/>
        <w:jc w:val="both"/>
        <w:rPr>
          <w:rFonts w:cs="Arial"/>
          <w:noProof/>
          <w:color w:val="000000"/>
          <w:sz w:val="28"/>
          <w:szCs w:val="28"/>
          <w:lang w:val="sv-SE" w:eastAsia="sv-SE"/>
        </w:rPr>
      </w:pPr>
    </w:p>
    <w:p w:rsidR="00A975EA" w:rsidRPr="00F46E84" w:rsidRDefault="00D57EF5" w:rsidP="00A975EA">
      <w:pPr>
        <w:pStyle w:val="Caption"/>
        <w:jc w:val="both"/>
        <w:rPr>
          <w:rFonts w:cs="Arial"/>
          <w:b w:val="0"/>
          <w:sz w:val="28"/>
          <w:szCs w:val="28"/>
        </w:rPr>
      </w:pPr>
      <w:r>
        <w:t>Figure 1 Probability of failure of only segments with</w:t>
      </w:r>
      <w:r w:rsidR="00A975EA">
        <w:t xml:space="preserve"> </w:t>
      </w:r>
      <w:r w:rsidR="00A975EA" w:rsidRPr="00BD1E12">
        <w:t xml:space="preserve">SNR = </w:t>
      </w:r>
      <w:r w:rsidR="00A975EA">
        <w:t>2</w:t>
      </w:r>
      <w:r w:rsidR="00A975EA" w:rsidRPr="00BD1E12">
        <w:t>0 dB</w:t>
      </w:r>
      <w:r>
        <w:t xml:space="preserve"> as a function of speed </w:t>
      </w:r>
    </w:p>
    <w:p w:rsidR="00A975EA" w:rsidRDefault="00A975EA" w:rsidP="00A975EA">
      <w:pPr>
        <w:jc w:val="both"/>
        <w:rPr>
          <w:rFonts w:cs="Arial"/>
          <w:sz w:val="28"/>
          <w:szCs w:val="28"/>
        </w:rPr>
      </w:pPr>
    </w:p>
    <w:p w:rsidR="00A975EA" w:rsidRDefault="00A975EA" w:rsidP="00A975EA">
      <w:pPr>
        <w:keepNext/>
        <w:jc w:val="both"/>
      </w:pPr>
      <w:r w:rsidRPr="004943BD">
        <w:rPr>
          <w:noProof/>
        </w:rPr>
        <w:lastRenderedPageBreak/>
        <w:drawing>
          <wp:inline distT="0" distB="0" distL="0" distR="0" wp14:anchorId="52BF6DDA" wp14:editId="14E615A5">
            <wp:extent cx="5120640" cy="3840480"/>
            <wp:effectExtent l="0" t="0" r="3810" b="762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120640" cy="3840480"/>
                    </a:xfrm>
                    <a:prstGeom prst="rect">
                      <a:avLst/>
                    </a:prstGeom>
                  </pic:spPr>
                </pic:pic>
              </a:graphicData>
            </a:graphic>
          </wp:inline>
        </w:drawing>
      </w:r>
    </w:p>
    <w:p w:rsidR="00A975EA" w:rsidRPr="00F46E84" w:rsidRDefault="00D57EF5" w:rsidP="00A975EA">
      <w:pPr>
        <w:pStyle w:val="Caption"/>
        <w:jc w:val="both"/>
        <w:rPr>
          <w:rFonts w:cs="Arial"/>
          <w:b w:val="0"/>
          <w:sz w:val="28"/>
          <w:szCs w:val="28"/>
        </w:rPr>
      </w:pPr>
      <w:r>
        <w:t xml:space="preserve">Figure 2 </w:t>
      </w:r>
      <w:r>
        <w:t xml:space="preserve">Probability of failure of only segments with </w:t>
      </w:r>
      <w:r w:rsidRPr="00BD1E12">
        <w:t xml:space="preserve">SNR = </w:t>
      </w:r>
      <w:r>
        <w:t>1</w:t>
      </w:r>
      <w:r w:rsidRPr="00BD1E12">
        <w:t>0 dB</w:t>
      </w:r>
      <w:r>
        <w:t xml:space="preserve"> as a function of speed</w:t>
      </w:r>
    </w:p>
    <w:p w:rsidR="00A975EA" w:rsidRDefault="00A975EA" w:rsidP="00A975EA">
      <w:pPr>
        <w:pStyle w:val="Caption"/>
        <w:jc w:val="both"/>
      </w:pPr>
      <w:r w:rsidRPr="004943BD">
        <w:rPr>
          <w:noProof/>
        </w:rPr>
        <w:drawing>
          <wp:inline distT="0" distB="0" distL="0" distR="0" wp14:anchorId="59D91F6D" wp14:editId="7997732F">
            <wp:extent cx="5120640" cy="3840480"/>
            <wp:effectExtent l="0" t="0" r="3810" b="762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120640" cy="3840480"/>
                    </a:xfrm>
                    <a:prstGeom prst="rect">
                      <a:avLst/>
                    </a:prstGeom>
                  </pic:spPr>
                </pic:pic>
              </a:graphicData>
            </a:graphic>
          </wp:inline>
        </w:drawing>
      </w:r>
    </w:p>
    <w:p w:rsidR="00A975EA" w:rsidRPr="00F46E84" w:rsidRDefault="00D57EF5" w:rsidP="00A975EA">
      <w:pPr>
        <w:pStyle w:val="Caption"/>
        <w:jc w:val="both"/>
        <w:rPr>
          <w:rFonts w:cs="Arial"/>
          <w:b w:val="0"/>
          <w:sz w:val="28"/>
          <w:szCs w:val="28"/>
        </w:rPr>
      </w:pPr>
      <w:r>
        <w:t>Figure 3</w:t>
      </w:r>
      <w:r w:rsidR="00A975EA" w:rsidRPr="00F46E84">
        <w:t xml:space="preserve"> </w:t>
      </w:r>
      <w:r>
        <w:t xml:space="preserve">Probability of failure of only segments with </w:t>
      </w:r>
      <w:r w:rsidRPr="00BD1E12">
        <w:t>SNR = 0 dB</w:t>
      </w:r>
      <w:r>
        <w:t xml:space="preserve"> as a function of speed</w:t>
      </w:r>
    </w:p>
    <w:p w:rsidR="00A975EA" w:rsidRDefault="00A975EA" w:rsidP="006C32C4">
      <w:pPr>
        <w:jc w:val="both"/>
        <w:rPr>
          <w:color w:val="000000" w:themeColor="text1"/>
          <w:sz w:val="24"/>
          <w:szCs w:val="24"/>
        </w:rPr>
      </w:pPr>
    </w:p>
    <w:p w:rsidR="00A94B64" w:rsidRDefault="00BC2D87" w:rsidP="006C32C4">
      <w:pPr>
        <w:jc w:val="both"/>
        <w:rPr>
          <w:rFonts w:cs="Arial"/>
          <w:sz w:val="24"/>
          <w:szCs w:val="28"/>
        </w:rPr>
      </w:pPr>
      <w:r w:rsidRPr="00E821CD">
        <w:rPr>
          <w:rFonts w:cs="Arial"/>
          <w:sz w:val="24"/>
          <w:szCs w:val="28"/>
        </w:rPr>
        <w:t>It can be observed that there is significant probabilities that only one segment is in error, while the rest of the segments are passed</w:t>
      </w:r>
      <w:r>
        <w:rPr>
          <w:rFonts w:cs="Arial"/>
          <w:sz w:val="24"/>
          <w:szCs w:val="28"/>
        </w:rPr>
        <w:t xml:space="preserve"> at all SNRs</w:t>
      </w:r>
      <w:r w:rsidRPr="00E821CD">
        <w:rPr>
          <w:rFonts w:cs="Arial"/>
          <w:sz w:val="24"/>
          <w:szCs w:val="28"/>
        </w:rPr>
        <w:t>. The probability of failure of only one segments increases with the speed at all geometries.</w:t>
      </w:r>
      <w:r w:rsidR="002A145B">
        <w:rPr>
          <w:rFonts w:cs="Arial"/>
          <w:sz w:val="24"/>
          <w:szCs w:val="28"/>
        </w:rPr>
        <w:t xml:space="preserve"> Hence the configuring the number of code blocks/CBGs is based on UE channel conditions (small scale and large scale) and also the MIMO rank etc. For example the number of code block segments within a transport block increases with rank (due to single codeword structure). Hence in these cases CBG based transmission/retransmission is useful if the UE can feedback with small number of CB per CBG.  </w:t>
      </w:r>
    </w:p>
    <w:p w:rsidR="00B24D32" w:rsidRDefault="00A94B64" w:rsidP="006C32C4">
      <w:pPr>
        <w:jc w:val="both"/>
        <w:rPr>
          <w:color w:val="000000" w:themeColor="text1"/>
          <w:sz w:val="24"/>
          <w:szCs w:val="24"/>
        </w:rPr>
      </w:pPr>
      <w:r>
        <w:rPr>
          <w:color w:val="000000" w:themeColor="text1"/>
          <w:sz w:val="24"/>
          <w:szCs w:val="24"/>
        </w:rPr>
        <w:t>Based on above observations</w:t>
      </w:r>
      <w:r w:rsidR="00006144">
        <w:rPr>
          <w:color w:val="000000" w:themeColor="text1"/>
          <w:sz w:val="24"/>
          <w:szCs w:val="24"/>
        </w:rPr>
        <w:t>, fixing the code blocks into CBG according to the TBS as in Option 3 is not optimal as the number of code block segments in error depends on quality of link adaptation.</w:t>
      </w:r>
      <w:r w:rsidR="00B24D32">
        <w:rPr>
          <w:color w:val="000000" w:themeColor="text1"/>
          <w:sz w:val="24"/>
          <w:szCs w:val="24"/>
        </w:rPr>
        <w:t xml:space="preserve"> </w:t>
      </w:r>
      <w:r w:rsidR="002A145B">
        <w:rPr>
          <w:color w:val="000000" w:themeColor="text1"/>
          <w:sz w:val="24"/>
          <w:szCs w:val="24"/>
        </w:rPr>
        <w:t xml:space="preserve"> Regarding option 1 or 2, we prefer option 2, as with Option 1, the standardization </w:t>
      </w:r>
      <w:r>
        <w:rPr>
          <w:color w:val="000000" w:themeColor="text1"/>
          <w:sz w:val="24"/>
          <w:szCs w:val="24"/>
        </w:rPr>
        <w:t>effort is more as RAN1</w:t>
      </w:r>
      <w:r w:rsidR="002A145B">
        <w:rPr>
          <w:color w:val="000000" w:themeColor="text1"/>
          <w:sz w:val="24"/>
          <w:szCs w:val="24"/>
        </w:rPr>
        <w:t xml:space="preserve">needs to define for all combinations. </w:t>
      </w:r>
      <w:r w:rsidR="0092108C">
        <w:rPr>
          <w:color w:val="000000" w:themeColor="text1"/>
          <w:sz w:val="24"/>
          <w:szCs w:val="24"/>
        </w:rPr>
        <w:t xml:space="preserve"> With option 2, the network needs to inform the number of CBs per CBG only.</w:t>
      </w:r>
      <w:r>
        <w:rPr>
          <w:color w:val="000000" w:themeColor="text1"/>
          <w:sz w:val="24"/>
          <w:szCs w:val="24"/>
        </w:rPr>
        <w:t xml:space="preserve"> Note that the network needs to inform the number of CBs per CBG per each codeword. </w:t>
      </w:r>
      <w:r w:rsidR="00060D91">
        <w:rPr>
          <w:color w:val="000000" w:themeColor="text1"/>
          <w:sz w:val="24"/>
          <w:szCs w:val="24"/>
        </w:rPr>
        <w:t>i.</w:t>
      </w:r>
      <w:r>
        <w:rPr>
          <w:color w:val="000000" w:themeColor="text1"/>
          <w:sz w:val="24"/>
          <w:szCs w:val="24"/>
        </w:rPr>
        <w:t>e.</w:t>
      </w:r>
      <w:r w:rsidR="00060D91">
        <w:rPr>
          <w:color w:val="000000" w:themeColor="text1"/>
          <w:sz w:val="24"/>
          <w:szCs w:val="24"/>
        </w:rPr>
        <w:t>,</w:t>
      </w:r>
      <w:r>
        <w:rPr>
          <w:color w:val="000000" w:themeColor="text1"/>
          <w:sz w:val="24"/>
          <w:szCs w:val="24"/>
        </w:rPr>
        <w:t xml:space="preserve"> for a two codeword MIMO system (for ranks 5-8), the number of CBs per each codeword should be configurable. Similarly, as </w:t>
      </w:r>
      <w:r w:rsidR="00060D91">
        <w:rPr>
          <w:color w:val="000000" w:themeColor="text1"/>
          <w:sz w:val="24"/>
          <w:szCs w:val="24"/>
        </w:rPr>
        <w:t>agreed in the previous meetings, the number of CBG based transmission is separate for DL/UL. Hence the network might send a different number of CB(s) per CBG for UL.</w:t>
      </w:r>
    </w:p>
    <w:p w:rsidR="002A145B" w:rsidRPr="002A145B" w:rsidRDefault="002A145B" w:rsidP="006C32C4">
      <w:pPr>
        <w:jc w:val="both"/>
        <w:rPr>
          <w:rFonts w:cs="Arial"/>
          <w:sz w:val="24"/>
          <w:szCs w:val="28"/>
        </w:rPr>
      </w:pPr>
      <w:r>
        <w:rPr>
          <w:color w:val="000000" w:themeColor="text1"/>
          <w:sz w:val="24"/>
          <w:szCs w:val="24"/>
        </w:rPr>
        <w:t xml:space="preserve">Regarding option 4 of </w:t>
      </w:r>
      <w:r w:rsidR="006865FE">
        <w:rPr>
          <w:color w:val="000000" w:themeColor="text1"/>
          <w:sz w:val="24"/>
          <w:szCs w:val="24"/>
        </w:rPr>
        <w:t>CBG approximately</w:t>
      </w:r>
      <w:r>
        <w:rPr>
          <w:color w:val="000000" w:themeColor="text1"/>
          <w:sz w:val="24"/>
          <w:szCs w:val="24"/>
        </w:rPr>
        <w:t xml:space="preserve"> aligned with </w:t>
      </w:r>
      <w:r w:rsidR="006865FE">
        <w:rPr>
          <w:color w:val="000000" w:themeColor="text1"/>
          <w:sz w:val="24"/>
          <w:szCs w:val="24"/>
        </w:rPr>
        <w:t>symbol, this is only applicable for eMBB+URLLC multiplexing use case and in reality</w:t>
      </w:r>
      <w:r w:rsidR="006A6E0A">
        <w:rPr>
          <w:color w:val="000000" w:themeColor="text1"/>
          <w:sz w:val="24"/>
          <w:szCs w:val="24"/>
        </w:rPr>
        <w:t xml:space="preserve"> aligning with symbol never happen as it depends on the number of resource blocks scheduled to the UE.</w:t>
      </w:r>
    </w:p>
    <w:p w:rsidR="0092108C" w:rsidRDefault="008F6CBE" w:rsidP="0092108C">
      <w:pPr>
        <w:contextualSpacing/>
        <w:rPr>
          <w:b/>
          <w:sz w:val="24"/>
          <w:szCs w:val="24"/>
        </w:rPr>
      </w:pPr>
      <w:r w:rsidRPr="0092108C">
        <w:rPr>
          <w:b/>
          <w:noProof/>
          <w:sz w:val="24"/>
          <w:szCs w:val="24"/>
        </w:rPr>
        <w:t>Proposal 1</w:t>
      </w:r>
      <w:r w:rsidRPr="0092108C">
        <w:rPr>
          <w:b/>
          <w:sz w:val="24"/>
          <w:szCs w:val="24"/>
        </w:rPr>
        <w:t>:</w:t>
      </w:r>
      <w:r w:rsidR="0092108C">
        <w:rPr>
          <w:b/>
          <w:sz w:val="24"/>
          <w:szCs w:val="24"/>
        </w:rPr>
        <w:t xml:space="preserve"> RAN1 should agree on configuring the number of CBs per CBG, the number of CBGs changes according to the TBS</w:t>
      </w:r>
    </w:p>
    <w:p w:rsidR="00A94B64" w:rsidRDefault="00A94B64" w:rsidP="0092108C">
      <w:pPr>
        <w:contextualSpacing/>
        <w:rPr>
          <w:b/>
          <w:sz w:val="24"/>
          <w:szCs w:val="24"/>
        </w:rPr>
      </w:pPr>
    </w:p>
    <w:p w:rsidR="00060D91" w:rsidRDefault="00A94B64" w:rsidP="00A94B64">
      <w:pPr>
        <w:contextualSpacing/>
        <w:rPr>
          <w:b/>
          <w:sz w:val="24"/>
          <w:szCs w:val="24"/>
        </w:rPr>
      </w:pPr>
      <w:r>
        <w:rPr>
          <w:b/>
          <w:noProof/>
          <w:sz w:val="24"/>
          <w:szCs w:val="24"/>
        </w:rPr>
        <w:t>Proposal 2</w:t>
      </w:r>
      <w:r w:rsidRPr="0092108C">
        <w:rPr>
          <w:b/>
          <w:sz w:val="24"/>
          <w:szCs w:val="24"/>
        </w:rPr>
        <w:t>:</w:t>
      </w:r>
      <w:r>
        <w:rPr>
          <w:b/>
          <w:sz w:val="24"/>
          <w:szCs w:val="24"/>
        </w:rPr>
        <w:t xml:space="preserve"> </w:t>
      </w:r>
      <w:r w:rsidR="00060D91">
        <w:rPr>
          <w:b/>
          <w:sz w:val="24"/>
          <w:szCs w:val="24"/>
        </w:rPr>
        <w:t>The number of CB(s) per one CBG can be different for each MIMO codeword</w:t>
      </w:r>
    </w:p>
    <w:p w:rsidR="00060D91" w:rsidRDefault="00060D91" w:rsidP="00A94B64">
      <w:pPr>
        <w:contextualSpacing/>
        <w:rPr>
          <w:b/>
          <w:sz w:val="24"/>
          <w:szCs w:val="24"/>
        </w:rPr>
      </w:pPr>
    </w:p>
    <w:p w:rsidR="00060D91" w:rsidRDefault="00060D91" w:rsidP="00060D91">
      <w:pPr>
        <w:contextualSpacing/>
        <w:rPr>
          <w:b/>
          <w:sz w:val="24"/>
          <w:szCs w:val="24"/>
        </w:rPr>
      </w:pPr>
      <w:r>
        <w:rPr>
          <w:b/>
          <w:noProof/>
          <w:sz w:val="24"/>
          <w:szCs w:val="24"/>
        </w:rPr>
        <w:t>Proposal 3</w:t>
      </w:r>
      <w:r w:rsidRPr="0092108C">
        <w:rPr>
          <w:b/>
          <w:sz w:val="24"/>
          <w:szCs w:val="24"/>
        </w:rPr>
        <w:t>:</w:t>
      </w:r>
      <w:r>
        <w:rPr>
          <w:b/>
          <w:sz w:val="24"/>
          <w:szCs w:val="24"/>
        </w:rPr>
        <w:t xml:space="preserve"> The number of CB(s) per o</w:t>
      </w:r>
      <w:r>
        <w:rPr>
          <w:b/>
          <w:sz w:val="24"/>
          <w:szCs w:val="24"/>
        </w:rPr>
        <w:t>ne CBG can be different for UL and DL</w:t>
      </w:r>
    </w:p>
    <w:p w:rsidR="001D7377" w:rsidRDefault="001D7377" w:rsidP="001D7377">
      <w:pPr>
        <w:pStyle w:val="Heading1"/>
      </w:pPr>
      <w:bookmarkStart w:id="2" w:name="_Toc424303267"/>
      <w:bookmarkStart w:id="3" w:name="_Toc425248865"/>
      <w:bookmarkStart w:id="4" w:name="_Toc425344835"/>
      <w:bookmarkStart w:id="5" w:name="_Toc425350726"/>
      <w:bookmarkStart w:id="6" w:name="_Toc425501584"/>
      <w:bookmarkStart w:id="7" w:name="_Toc425504168"/>
      <w:r>
        <w:t>Conclusions</w:t>
      </w:r>
    </w:p>
    <w:bookmarkEnd w:id="2"/>
    <w:bookmarkEnd w:id="3"/>
    <w:bookmarkEnd w:id="4"/>
    <w:bookmarkEnd w:id="5"/>
    <w:bookmarkEnd w:id="6"/>
    <w:bookmarkEnd w:id="7"/>
    <w:p w:rsidR="00863643" w:rsidRDefault="00863643" w:rsidP="00863643">
      <w:pPr>
        <w:jc w:val="both"/>
        <w:rPr>
          <w:sz w:val="24"/>
          <w:szCs w:val="24"/>
          <w:lang w:val="en-GB"/>
        </w:rPr>
      </w:pPr>
      <w:r w:rsidRPr="00183B2D">
        <w:rPr>
          <w:sz w:val="24"/>
          <w:szCs w:val="24"/>
          <w:lang w:val="en-GB"/>
        </w:rPr>
        <w:t xml:space="preserve">In this contribution </w:t>
      </w:r>
      <w:r>
        <w:rPr>
          <w:sz w:val="24"/>
          <w:szCs w:val="24"/>
          <w:lang w:val="en-GB"/>
        </w:rPr>
        <w:t xml:space="preserve">we </w:t>
      </w:r>
      <w:r w:rsidR="00DE4B5B">
        <w:rPr>
          <w:sz w:val="24"/>
          <w:szCs w:val="24"/>
          <w:lang w:val="en-GB"/>
        </w:rPr>
        <w:t xml:space="preserve">presented our views </w:t>
      </w:r>
      <w:r w:rsidR="002D2C1E">
        <w:rPr>
          <w:sz w:val="24"/>
          <w:szCs w:val="24"/>
          <w:lang w:val="en-GB"/>
        </w:rPr>
        <w:t>CBG based transmission</w:t>
      </w:r>
      <w:r w:rsidR="00DE4B5B">
        <w:rPr>
          <w:sz w:val="24"/>
          <w:szCs w:val="24"/>
          <w:lang w:val="en-GB"/>
        </w:rPr>
        <w:t>.</w:t>
      </w:r>
      <w:r>
        <w:rPr>
          <w:sz w:val="24"/>
          <w:szCs w:val="24"/>
          <w:lang w:val="en-GB"/>
        </w:rPr>
        <w:t xml:space="preserve">   </w:t>
      </w:r>
      <w:r w:rsidR="002D2C1E">
        <w:rPr>
          <w:sz w:val="24"/>
          <w:szCs w:val="24"/>
          <w:lang w:val="en-GB"/>
        </w:rPr>
        <w:t xml:space="preserve"> Based on our observations, </w:t>
      </w:r>
    </w:p>
    <w:p w:rsidR="00863643" w:rsidRPr="005C1BF7" w:rsidRDefault="00DE4B5B" w:rsidP="00863643">
      <w:pPr>
        <w:tabs>
          <w:tab w:val="left" w:pos="3548"/>
        </w:tabs>
        <w:rPr>
          <w:sz w:val="24"/>
          <w:szCs w:val="24"/>
          <w:lang w:val="en-GB"/>
        </w:rPr>
      </w:pPr>
      <w:r w:rsidRPr="005C1BF7">
        <w:rPr>
          <w:sz w:val="24"/>
          <w:szCs w:val="24"/>
          <w:lang w:val="en-GB"/>
        </w:rPr>
        <w:t>We</w:t>
      </w:r>
      <w:r w:rsidR="00863643" w:rsidRPr="005C1BF7">
        <w:rPr>
          <w:sz w:val="24"/>
          <w:szCs w:val="24"/>
          <w:lang w:val="en-GB"/>
        </w:rPr>
        <w:t xml:space="preserve"> have the following proposal:</w:t>
      </w:r>
    </w:p>
    <w:p w:rsidR="002D2C1E" w:rsidRDefault="002D2C1E" w:rsidP="002D2C1E">
      <w:pPr>
        <w:contextualSpacing/>
        <w:rPr>
          <w:b/>
          <w:sz w:val="24"/>
          <w:szCs w:val="24"/>
        </w:rPr>
      </w:pPr>
      <w:r w:rsidRPr="0092108C">
        <w:rPr>
          <w:b/>
          <w:noProof/>
          <w:sz w:val="24"/>
          <w:szCs w:val="24"/>
        </w:rPr>
        <w:t>Proposal 1</w:t>
      </w:r>
      <w:r w:rsidRPr="0092108C">
        <w:rPr>
          <w:b/>
          <w:sz w:val="24"/>
          <w:szCs w:val="24"/>
        </w:rPr>
        <w:t>:</w:t>
      </w:r>
      <w:r>
        <w:rPr>
          <w:b/>
          <w:sz w:val="24"/>
          <w:szCs w:val="24"/>
        </w:rPr>
        <w:t xml:space="preserve"> RAN1 should agree on configuring the number of CBs per CBG, the number of CBG</w:t>
      </w:r>
      <w:r w:rsidR="006B5540">
        <w:rPr>
          <w:b/>
          <w:sz w:val="24"/>
          <w:szCs w:val="24"/>
        </w:rPr>
        <w:t>(</w:t>
      </w:r>
      <w:r>
        <w:rPr>
          <w:b/>
          <w:sz w:val="24"/>
          <w:szCs w:val="24"/>
        </w:rPr>
        <w:t>s</w:t>
      </w:r>
      <w:r w:rsidR="006B5540">
        <w:rPr>
          <w:b/>
          <w:sz w:val="24"/>
          <w:szCs w:val="24"/>
        </w:rPr>
        <w:t>)</w:t>
      </w:r>
      <w:bookmarkStart w:id="8" w:name="_GoBack"/>
      <w:bookmarkEnd w:id="8"/>
      <w:r>
        <w:rPr>
          <w:b/>
          <w:sz w:val="24"/>
          <w:szCs w:val="24"/>
        </w:rPr>
        <w:t xml:space="preserve"> changes according to the TBS</w:t>
      </w:r>
    </w:p>
    <w:p w:rsidR="002D2C1E" w:rsidRDefault="002D2C1E" w:rsidP="002D2C1E">
      <w:pPr>
        <w:contextualSpacing/>
        <w:rPr>
          <w:b/>
          <w:sz w:val="24"/>
          <w:szCs w:val="24"/>
        </w:rPr>
      </w:pPr>
    </w:p>
    <w:p w:rsidR="002D2C1E" w:rsidRDefault="002D2C1E" w:rsidP="002D2C1E">
      <w:pPr>
        <w:contextualSpacing/>
        <w:rPr>
          <w:b/>
          <w:sz w:val="24"/>
          <w:szCs w:val="24"/>
        </w:rPr>
      </w:pPr>
      <w:r>
        <w:rPr>
          <w:b/>
          <w:noProof/>
          <w:sz w:val="24"/>
          <w:szCs w:val="24"/>
        </w:rPr>
        <w:t>Proposal 2</w:t>
      </w:r>
      <w:r w:rsidRPr="0092108C">
        <w:rPr>
          <w:b/>
          <w:sz w:val="24"/>
          <w:szCs w:val="24"/>
        </w:rPr>
        <w:t>:</w:t>
      </w:r>
      <w:r>
        <w:rPr>
          <w:b/>
          <w:sz w:val="24"/>
          <w:szCs w:val="24"/>
        </w:rPr>
        <w:t xml:space="preserve"> The number of CB(s) per one CBG can be different for each MIMO codeword</w:t>
      </w:r>
    </w:p>
    <w:p w:rsidR="002D2C1E" w:rsidRDefault="002D2C1E" w:rsidP="002D2C1E">
      <w:pPr>
        <w:contextualSpacing/>
        <w:rPr>
          <w:b/>
          <w:sz w:val="24"/>
          <w:szCs w:val="24"/>
        </w:rPr>
      </w:pPr>
    </w:p>
    <w:p w:rsidR="002D2C1E" w:rsidRDefault="002D2C1E" w:rsidP="002D2C1E">
      <w:pPr>
        <w:contextualSpacing/>
        <w:rPr>
          <w:b/>
          <w:sz w:val="24"/>
          <w:szCs w:val="24"/>
        </w:rPr>
      </w:pPr>
      <w:r>
        <w:rPr>
          <w:b/>
          <w:noProof/>
          <w:sz w:val="24"/>
          <w:szCs w:val="24"/>
        </w:rPr>
        <w:t>Proposal 3</w:t>
      </w:r>
      <w:r w:rsidRPr="0092108C">
        <w:rPr>
          <w:b/>
          <w:sz w:val="24"/>
          <w:szCs w:val="24"/>
        </w:rPr>
        <w:t>:</w:t>
      </w:r>
      <w:r>
        <w:rPr>
          <w:b/>
          <w:sz w:val="24"/>
          <w:szCs w:val="24"/>
        </w:rPr>
        <w:t xml:space="preserve"> The number of CB(s) per one CBG can be different for UL and DL</w:t>
      </w:r>
    </w:p>
    <w:p w:rsidR="00903573" w:rsidRDefault="00903573" w:rsidP="00DE4B5B">
      <w:pPr>
        <w:keepNext/>
      </w:pPr>
    </w:p>
    <w:p w:rsidR="00B47DC1" w:rsidRDefault="00B47DC1" w:rsidP="00B47DC1">
      <w:pPr>
        <w:pStyle w:val="ListParagraph"/>
        <w:ind w:left="567"/>
        <w:rPr>
          <w:rFonts w:ascii="Times New Roman" w:eastAsia="SimSun" w:hAnsi="Times New Roman"/>
          <w:sz w:val="24"/>
          <w:szCs w:val="24"/>
        </w:rPr>
      </w:pPr>
      <w:bookmarkStart w:id="9" w:name="_Ref450342757"/>
      <w:bookmarkEnd w:id="1"/>
    </w:p>
    <w:p w:rsidR="008F49D1" w:rsidRPr="000F70D6" w:rsidRDefault="008F49D1" w:rsidP="00474038">
      <w:pPr>
        <w:pStyle w:val="ListParagraph"/>
        <w:ind w:left="567"/>
        <w:rPr>
          <w:rFonts w:ascii="Times New Roman" w:eastAsia="SimSun" w:hAnsi="Times New Roman"/>
          <w:sz w:val="24"/>
          <w:szCs w:val="24"/>
        </w:rPr>
      </w:pPr>
    </w:p>
    <w:bookmarkEnd w:id="9"/>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11"/>
      <w:footerReference w:type="even" r:id="rId12"/>
      <w:footerReference w:type="default" r:id="rId13"/>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1FAC" w:rsidRDefault="00FE1FAC" w:rsidP="00A03DF3">
      <w:pPr>
        <w:spacing w:after="0"/>
      </w:pPr>
      <w:r>
        <w:separator/>
      </w:r>
    </w:p>
  </w:endnote>
  <w:endnote w:type="continuationSeparator" w:id="0">
    <w:p w:rsidR="00FE1FAC" w:rsidRDefault="00FE1FAC"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09E5" w:rsidRDefault="003709E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6B554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B5540">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1FAC" w:rsidRDefault="00FE1FAC" w:rsidP="00A03DF3">
      <w:pPr>
        <w:spacing w:after="0"/>
      </w:pPr>
      <w:r>
        <w:separator/>
      </w:r>
    </w:p>
  </w:footnote>
  <w:footnote w:type="continuationSeparator" w:id="0">
    <w:p w:rsidR="00FE1FAC" w:rsidRDefault="00FE1FAC"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F713B5"/>
    <w:multiLevelType w:val="hybridMultilevel"/>
    <w:tmpl w:val="C950B038"/>
    <w:lvl w:ilvl="0" w:tplc="E4285368">
      <w:start w:val="1"/>
      <w:numFmt w:val="upperLetter"/>
      <w:lvlText w:val="%1."/>
      <w:lvlJc w:val="left"/>
      <w:pPr>
        <w:ind w:left="720" w:hanging="360"/>
      </w:pPr>
      <w:rPr>
        <w:rFonts w:ascii="Times New Roman" w:eastAsia="SimSun" w:hAnsi="Times New Roman" w:cs="Times New Roman"/>
      </w:rPr>
    </w:lvl>
    <w:lvl w:ilvl="1" w:tplc="6722E104">
      <w:start w:val="1"/>
      <w:numFmt w:val="upperLetter"/>
      <w:lvlText w:val="%2."/>
      <w:lvlJc w:val="left"/>
      <w:pPr>
        <w:ind w:left="1440" w:hanging="360"/>
      </w:pPr>
      <w:rPr>
        <w:rFonts w:ascii="Times New Roman" w:eastAsia="SimSun" w:hAnsi="Times New Roman" w:cs="Times New Roman"/>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CFF48E0"/>
    <w:multiLevelType w:val="hybridMultilevel"/>
    <w:tmpl w:val="32623E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22B31F1"/>
    <w:multiLevelType w:val="hybridMultilevel"/>
    <w:tmpl w:val="B7002A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76822E96"/>
    <w:multiLevelType w:val="multilevel"/>
    <w:tmpl w:val="BECADB0C"/>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 w:numId="3">
    <w:abstractNumId w:val="6"/>
  </w:num>
  <w:num w:numId="4">
    <w:abstractNumId w:val="2"/>
  </w:num>
  <w:num w:numId="5">
    <w:abstractNumId w:val="5"/>
  </w:num>
  <w:num w:numId="6">
    <w:abstractNumId w:val="3"/>
  </w:num>
  <w:num w:numId="7">
    <w:abstractNumId w:val="7"/>
  </w:num>
  <w:num w:numId="8">
    <w:abstractNumId w:val="10"/>
  </w:num>
  <w:num w:numId="9">
    <w:abstractNumId w:val="4"/>
  </w:num>
  <w:num w:numId="10">
    <w:abstractNumId w:val="8"/>
  </w:num>
  <w:num w:numId="11">
    <w:abstractNumId w:val="13"/>
  </w:num>
  <w:num w:numId="12">
    <w:abstractNumId w:val="12"/>
  </w:num>
  <w:num w:numId="13">
    <w:abstractNumId w:val="9"/>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06144"/>
    <w:rsid w:val="00011919"/>
    <w:rsid w:val="00011AD9"/>
    <w:rsid w:val="000152F8"/>
    <w:rsid w:val="00017D31"/>
    <w:rsid w:val="000232BC"/>
    <w:rsid w:val="00024728"/>
    <w:rsid w:val="000250E0"/>
    <w:rsid w:val="00033AB4"/>
    <w:rsid w:val="000343A6"/>
    <w:rsid w:val="00040D73"/>
    <w:rsid w:val="00043767"/>
    <w:rsid w:val="00047A27"/>
    <w:rsid w:val="00060D91"/>
    <w:rsid w:val="00063362"/>
    <w:rsid w:val="00070271"/>
    <w:rsid w:val="00077861"/>
    <w:rsid w:val="0008103A"/>
    <w:rsid w:val="00082F4F"/>
    <w:rsid w:val="000848FB"/>
    <w:rsid w:val="000A3623"/>
    <w:rsid w:val="000D44F2"/>
    <w:rsid w:val="000E3E8D"/>
    <w:rsid w:val="000E7BE4"/>
    <w:rsid w:val="000E7F6F"/>
    <w:rsid w:val="000F152B"/>
    <w:rsid w:val="000F70D6"/>
    <w:rsid w:val="0010116E"/>
    <w:rsid w:val="00102E95"/>
    <w:rsid w:val="00106E19"/>
    <w:rsid w:val="00107EBD"/>
    <w:rsid w:val="001153C1"/>
    <w:rsid w:val="0011607E"/>
    <w:rsid w:val="001248DF"/>
    <w:rsid w:val="001259C2"/>
    <w:rsid w:val="00131CEE"/>
    <w:rsid w:val="00132041"/>
    <w:rsid w:val="001324BC"/>
    <w:rsid w:val="00150F00"/>
    <w:rsid w:val="00151B4B"/>
    <w:rsid w:val="001625C3"/>
    <w:rsid w:val="001711C0"/>
    <w:rsid w:val="001738F0"/>
    <w:rsid w:val="00183B2D"/>
    <w:rsid w:val="00184167"/>
    <w:rsid w:val="00185817"/>
    <w:rsid w:val="001A19A7"/>
    <w:rsid w:val="001B362A"/>
    <w:rsid w:val="001B62B5"/>
    <w:rsid w:val="001C0C74"/>
    <w:rsid w:val="001D4E16"/>
    <w:rsid w:val="001D7377"/>
    <w:rsid w:val="001E0FE1"/>
    <w:rsid w:val="001E1248"/>
    <w:rsid w:val="001E7474"/>
    <w:rsid w:val="00201686"/>
    <w:rsid w:val="00202539"/>
    <w:rsid w:val="002049EA"/>
    <w:rsid w:val="00206D78"/>
    <w:rsid w:val="00206DA2"/>
    <w:rsid w:val="00207CDD"/>
    <w:rsid w:val="00210503"/>
    <w:rsid w:val="0021393D"/>
    <w:rsid w:val="00225364"/>
    <w:rsid w:val="002344C5"/>
    <w:rsid w:val="00236E92"/>
    <w:rsid w:val="00242A69"/>
    <w:rsid w:val="00242F9F"/>
    <w:rsid w:val="00244E87"/>
    <w:rsid w:val="002452A4"/>
    <w:rsid w:val="00250D87"/>
    <w:rsid w:val="00270E7D"/>
    <w:rsid w:val="00273449"/>
    <w:rsid w:val="00273B90"/>
    <w:rsid w:val="00275CA0"/>
    <w:rsid w:val="00291C98"/>
    <w:rsid w:val="0029404C"/>
    <w:rsid w:val="002942B7"/>
    <w:rsid w:val="00297B7D"/>
    <w:rsid w:val="002A145B"/>
    <w:rsid w:val="002B13C5"/>
    <w:rsid w:val="002B26F8"/>
    <w:rsid w:val="002B6B50"/>
    <w:rsid w:val="002C1EFA"/>
    <w:rsid w:val="002C3450"/>
    <w:rsid w:val="002C3A90"/>
    <w:rsid w:val="002D2C1E"/>
    <w:rsid w:val="002E3D2F"/>
    <w:rsid w:val="002E5508"/>
    <w:rsid w:val="002E6A45"/>
    <w:rsid w:val="002F70E1"/>
    <w:rsid w:val="002F727E"/>
    <w:rsid w:val="00304012"/>
    <w:rsid w:val="003149D8"/>
    <w:rsid w:val="00334E9F"/>
    <w:rsid w:val="0035147A"/>
    <w:rsid w:val="003544D3"/>
    <w:rsid w:val="00363695"/>
    <w:rsid w:val="003702F2"/>
    <w:rsid w:val="003709E5"/>
    <w:rsid w:val="0037686B"/>
    <w:rsid w:val="0037788F"/>
    <w:rsid w:val="003778D9"/>
    <w:rsid w:val="00382E4B"/>
    <w:rsid w:val="00384F13"/>
    <w:rsid w:val="00386534"/>
    <w:rsid w:val="00386B9D"/>
    <w:rsid w:val="003967CC"/>
    <w:rsid w:val="003A6F05"/>
    <w:rsid w:val="003B08A8"/>
    <w:rsid w:val="003B11C5"/>
    <w:rsid w:val="003C04C9"/>
    <w:rsid w:val="003C1FBC"/>
    <w:rsid w:val="003C7092"/>
    <w:rsid w:val="003C71AC"/>
    <w:rsid w:val="003D2FF5"/>
    <w:rsid w:val="003D51ED"/>
    <w:rsid w:val="003F3BD7"/>
    <w:rsid w:val="003F54E8"/>
    <w:rsid w:val="00400A08"/>
    <w:rsid w:val="00413433"/>
    <w:rsid w:val="0041405C"/>
    <w:rsid w:val="0041500F"/>
    <w:rsid w:val="00416778"/>
    <w:rsid w:val="00416848"/>
    <w:rsid w:val="0041687B"/>
    <w:rsid w:val="00417010"/>
    <w:rsid w:val="00421884"/>
    <w:rsid w:val="00425A92"/>
    <w:rsid w:val="0043194D"/>
    <w:rsid w:val="00431A45"/>
    <w:rsid w:val="00434696"/>
    <w:rsid w:val="00434EBF"/>
    <w:rsid w:val="00436CAA"/>
    <w:rsid w:val="0044468E"/>
    <w:rsid w:val="004501C3"/>
    <w:rsid w:val="00464F06"/>
    <w:rsid w:val="00470BCC"/>
    <w:rsid w:val="00473C83"/>
    <w:rsid w:val="00474038"/>
    <w:rsid w:val="00481979"/>
    <w:rsid w:val="00484322"/>
    <w:rsid w:val="004868C8"/>
    <w:rsid w:val="00491D5A"/>
    <w:rsid w:val="0049348F"/>
    <w:rsid w:val="004941F5"/>
    <w:rsid w:val="004951FA"/>
    <w:rsid w:val="00496256"/>
    <w:rsid w:val="004A05F1"/>
    <w:rsid w:val="004A4B20"/>
    <w:rsid w:val="004A5460"/>
    <w:rsid w:val="004A6AF1"/>
    <w:rsid w:val="004B3548"/>
    <w:rsid w:val="004B6CC8"/>
    <w:rsid w:val="004C521D"/>
    <w:rsid w:val="004D1D4B"/>
    <w:rsid w:val="004D338B"/>
    <w:rsid w:val="004E24E6"/>
    <w:rsid w:val="004E3753"/>
    <w:rsid w:val="004E4A4E"/>
    <w:rsid w:val="0051043F"/>
    <w:rsid w:val="00510EB5"/>
    <w:rsid w:val="00526E57"/>
    <w:rsid w:val="00534474"/>
    <w:rsid w:val="005352FA"/>
    <w:rsid w:val="00537F8E"/>
    <w:rsid w:val="00543B21"/>
    <w:rsid w:val="005457DF"/>
    <w:rsid w:val="00547C78"/>
    <w:rsid w:val="0055021B"/>
    <w:rsid w:val="005544EC"/>
    <w:rsid w:val="00566BF8"/>
    <w:rsid w:val="005720AE"/>
    <w:rsid w:val="005732D3"/>
    <w:rsid w:val="0058545D"/>
    <w:rsid w:val="00594E1F"/>
    <w:rsid w:val="005C0F42"/>
    <w:rsid w:val="005C1BF7"/>
    <w:rsid w:val="005E49C7"/>
    <w:rsid w:val="005F0C73"/>
    <w:rsid w:val="005F2BEE"/>
    <w:rsid w:val="005F49BE"/>
    <w:rsid w:val="005F69AE"/>
    <w:rsid w:val="00602FF2"/>
    <w:rsid w:val="0061290E"/>
    <w:rsid w:val="0062050D"/>
    <w:rsid w:val="00626CD3"/>
    <w:rsid w:val="00633D91"/>
    <w:rsid w:val="00644086"/>
    <w:rsid w:val="0064614A"/>
    <w:rsid w:val="00647AF1"/>
    <w:rsid w:val="00653B6D"/>
    <w:rsid w:val="006577D9"/>
    <w:rsid w:val="006625D4"/>
    <w:rsid w:val="00664678"/>
    <w:rsid w:val="006667BE"/>
    <w:rsid w:val="00667EDB"/>
    <w:rsid w:val="00674ED6"/>
    <w:rsid w:val="00680F31"/>
    <w:rsid w:val="006865FE"/>
    <w:rsid w:val="00690312"/>
    <w:rsid w:val="00691783"/>
    <w:rsid w:val="006A4ACB"/>
    <w:rsid w:val="006A53E5"/>
    <w:rsid w:val="006A5DD2"/>
    <w:rsid w:val="006A6E0A"/>
    <w:rsid w:val="006B101C"/>
    <w:rsid w:val="006B5540"/>
    <w:rsid w:val="006C32C4"/>
    <w:rsid w:val="006C6647"/>
    <w:rsid w:val="006D3D50"/>
    <w:rsid w:val="006F5982"/>
    <w:rsid w:val="006F72BF"/>
    <w:rsid w:val="00706C10"/>
    <w:rsid w:val="007072E3"/>
    <w:rsid w:val="00710262"/>
    <w:rsid w:val="007146FF"/>
    <w:rsid w:val="007229DC"/>
    <w:rsid w:val="00722FD8"/>
    <w:rsid w:val="0073390E"/>
    <w:rsid w:val="00735620"/>
    <w:rsid w:val="0074131E"/>
    <w:rsid w:val="00742ABC"/>
    <w:rsid w:val="00745620"/>
    <w:rsid w:val="00760679"/>
    <w:rsid w:val="0076369B"/>
    <w:rsid w:val="00767F04"/>
    <w:rsid w:val="007764D8"/>
    <w:rsid w:val="0078261D"/>
    <w:rsid w:val="00786FCF"/>
    <w:rsid w:val="007877F2"/>
    <w:rsid w:val="00790961"/>
    <w:rsid w:val="007945A4"/>
    <w:rsid w:val="0079557E"/>
    <w:rsid w:val="0079585A"/>
    <w:rsid w:val="007A4702"/>
    <w:rsid w:val="007A6469"/>
    <w:rsid w:val="007B3085"/>
    <w:rsid w:val="007B3DE9"/>
    <w:rsid w:val="007B574D"/>
    <w:rsid w:val="007B6F7A"/>
    <w:rsid w:val="007C1666"/>
    <w:rsid w:val="007C274D"/>
    <w:rsid w:val="007D6B66"/>
    <w:rsid w:val="0081279A"/>
    <w:rsid w:val="00816FB9"/>
    <w:rsid w:val="00825D7A"/>
    <w:rsid w:val="00825EC8"/>
    <w:rsid w:val="00827552"/>
    <w:rsid w:val="008305FD"/>
    <w:rsid w:val="00841D9F"/>
    <w:rsid w:val="00843B1D"/>
    <w:rsid w:val="00844CF1"/>
    <w:rsid w:val="00855739"/>
    <w:rsid w:val="00860E8A"/>
    <w:rsid w:val="0086141D"/>
    <w:rsid w:val="00863643"/>
    <w:rsid w:val="008645B9"/>
    <w:rsid w:val="008743C6"/>
    <w:rsid w:val="00876F81"/>
    <w:rsid w:val="008779BD"/>
    <w:rsid w:val="00881B50"/>
    <w:rsid w:val="00883F0F"/>
    <w:rsid w:val="00892F50"/>
    <w:rsid w:val="008930A9"/>
    <w:rsid w:val="008A70D6"/>
    <w:rsid w:val="008A7C64"/>
    <w:rsid w:val="008B7E92"/>
    <w:rsid w:val="008C4C93"/>
    <w:rsid w:val="008C7323"/>
    <w:rsid w:val="008E1849"/>
    <w:rsid w:val="008E3584"/>
    <w:rsid w:val="008E5AEC"/>
    <w:rsid w:val="008E5C54"/>
    <w:rsid w:val="008F49D1"/>
    <w:rsid w:val="008F6CBE"/>
    <w:rsid w:val="008F7450"/>
    <w:rsid w:val="00903573"/>
    <w:rsid w:val="009060A4"/>
    <w:rsid w:val="00907D90"/>
    <w:rsid w:val="0091056A"/>
    <w:rsid w:val="00912F39"/>
    <w:rsid w:val="0091403F"/>
    <w:rsid w:val="00917961"/>
    <w:rsid w:val="0092108C"/>
    <w:rsid w:val="00923046"/>
    <w:rsid w:val="00926445"/>
    <w:rsid w:val="00935907"/>
    <w:rsid w:val="009444F6"/>
    <w:rsid w:val="009477DD"/>
    <w:rsid w:val="00961690"/>
    <w:rsid w:val="00964DE7"/>
    <w:rsid w:val="009714DC"/>
    <w:rsid w:val="00973EEF"/>
    <w:rsid w:val="00990A8D"/>
    <w:rsid w:val="009A212B"/>
    <w:rsid w:val="009B12B4"/>
    <w:rsid w:val="009B34F4"/>
    <w:rsid w:val="009B679A"/>
    <w:rsid w:val="009B67DE"/>
    <w:rsid w:val="009C0E95"/>
    <w:rsid w:val="009F4239"/>
    <w:rsid w:val="00A03DC7"/>
    <w:rsid w:val="00A03DF3"/>
    <w:rsid w:val="00A1005B"/>
    <w:rsid w:val="00A13339"/>
    <w:rsid w:val="00A26DCA"/>
    <w:rsid w:val="00A36F7A"/>
    <w:rsid w:val="00A42970"/>
    <w:rsid w:val="00A43533"/>
    <w:rsid w:val="00A45013"/>
    <w:rsid w:val="00A45CAD"/>
    <w:rsid w:val="00A462B3"/>
    <w:rsid w:val="00A50E1C"/>
    <w:rsid w:val="00A56D69"/>
    <w:rsid w:val="00A706A9"/>
    <w:rsid w:val="00A715E7"/>
    <w:rsid w:val="00A76BE5"/>
    <w:rsid w:val="00A83792"/>
    <w:rsid w:val="00A9069C"/>
    <w:rsid w:val="00A94B64"/>
    <w:rsid w:val="00A959CD"/>
    <w:rsid w:val="00A970DF"/>
    <w:rsid w:val="00A975EA"/>
    <w:rsid w:val="00AB1026"/>
    <w:rsid w:val="00AB3811"/>
    <w:rsid w:val="00AB7637"/>
    <w:rsid w:val="00AC078D"/>
    <w:rsid w:val="00AD402C"/>
    <w:rsid w:val="00AF0AF0"/>
    <w:rsid w:val="00AF1590"/>
    <w:rsid w:val="00AF55AC"/>
    <w:rsid w:val="00AF7903"/>
    <w:rsid w:val="00B00F7E"/>
    <w:rsid w:val="00B03635"/>
    <w:rsid w:val="00B05884"/>
    <w:rsid w:val="00B17D08"/>
    <w:rsid w:val="00B17D86"/>
    <w:rsid w:val="00B24D32"/>
    <w:rsid w:val="00B24E33"/>
    <w:rsid w:val="00B26FE6"/>
    <w:rsid w:val="00B37655"/>
    <w:rsid w:val="00B42FD4"/>
    <w:rsid w:val="00B4399E"/>
    <w:rsid w:val="00B47DC1"/>
    <w:rsid w:val="00B50BAC"/>
    <w:rsid w:val="00B54F62"/>
    <w:rsid w:val="00B7005D"/>
    <w:rsid w:val="00B70D99"/>
    <w:rsid w:val="00B74C3C"/>
    <w:rsid w:val="00B82AA0"/>
    <w:rsid w:val="00B82F38"/>
    <w:rsid w:val="00B865C9"/>
    <w:rsid w:val="00B86C48"/>
    <w:rsid w:val="00B91E13"/>
    <w:rsid w:val="00B9611D"/>
    <w:rsid w:val="00BB273F"/>
    <w:rsid w:val="00BB4CBA"/>
    <w:rsid w:val="00BC05B0"/>
    <w:rsid w:val="00BC0B2C"/>
    <w:rsid w:val="00BC2D87"/>
    <w:rsid w:val="00BC6517"/>
    <w:rsid w:val="00BE7F78"/>
    <w:rsid w:val="00BF5399"/>
    <w:rsid w:val="00C00A29"/>
    <w:rsid w:val="00C152E3"/>
    <w:rsid w:val="00C1607A"/>
    <w:rsid w:val="00C31268"/>
    <w:rsid w:val="00C31810"/>
    <w:rsid w:val="00C37073"/>
    <w:rsid w:val="00C46670"/>
    <w:rsid w:val="00C50D06"/>
    <w:rsid w:val="00C532A5"/>
    <w:rsid w:val="00C54E0C"/>
    <w:rsid w:val="00C565C4"/>
    <w:rsid w:val="00C9597D"/>
    <w:rsid w:val="00CA0134"/>
    <w:rsid w:val="00CA45CC"/>
    <w:rsid w:val="00CA5FB4"/>
    <w:rsid w:val="00CB3C38"/>
    <w:rsid w:val="00CB5E6A"/>
    <w:rsid w:val="00CB7ACA"/>
    <w:rsid w:val="00CC3CDF"/>
    <w:rsid w:val="00CC6914"/>
    <w:rsid w:val="00CD4BDE"/>
    <w:rsid w:val="00CD5AE1"/>
    <w:rsid w:val="00CE55FD"/>
    <w:rsid w:val="00CE5D3D"/>
    <w:rsid w:val="00CF2D90"/>
    <w:rsid w:val="00CF3853"/>
    <w:rsid w:val="00CF4912"/>
    <w:rsid w:val="00CF51E5"/>
    <w:rsid w:val="00D00917"/>
    <w:rsid w:val="00D06073"/>
    <w:rsid w:val="00D07C12"/>
    <w:rsid w:val="00D1087A"/>
    <w:rsid w:val="00D16FB5"/>
    <w:rsid w:val="00D220EA"/>
    <w:rsid w:val="00D2655C"/>
    <w:rsid w:val="00D317C6"/>
    <w:rsid w:val="00D32088"/>
    <w:rsid w:val="00D3493D"/>
    <w:rsid w:val="00D41C4B"/>
    <w:rsid w:val="00D42A35"/>
    <w:rsid w:val="00D50F28"/>
    <w:rsid w:val="00D53A33"/>
    <w:rsid w:val="00D57EF5"/>
    <w:rsid w:val="00D81AE8"/>
    <w:rsid w:val="00D913DA"/>
    <w:rsid w:val="00DA14A6"/>
    <w:rsid w:val="00DA3F10"/>
    <w:rsid w:val="00DA67F5"/>
    <w:rsid w:val="00DA7B6D"/>
    <w:rsid w:val="00DB6035"/>
    <w:rsid w:val="00DC4CC3"/>
    <w:rsid w:val="00DD704C"/>
    <w:rsid w:val="00DE4B5B"/>
    <w:rsid w:val="00DE5572"/>
    <w:rsid w:val="00DE6BD8"/>
    <w:rsid w:val="00DF21E7"/>
    <w:rsid w:val="00E06B94"/>
    <w:rsid w:val="00E11376"/>
    <w:rsid w:val="00E11C1C"/>
    <w:rsid w:val="00E11F2C"/>
    <w:rsid w:val="00E14120"/>
    <w:rsid w:val="00E16CB7"/>
    <w:rsid w:val="00E20C3E"/>
    <w:rsid w:val="00E22BCB"/>
    <w:rsid w:val="00E3160A"/>
    <w:rsid w:val="00E3250E"/>
    <w:rsid w:val="00E421AA"/>
    <w:rsid w:val="00E50C15"/>
    <w:rsid w:val="00E513A1"/>
    <w:rsid w:val="00E513DF"/>
    <w:rsid w:val="00E52A97"/>
    <w:rsid w:val="00E530A5"/>
    <w:rsid w:val="00E56566"/>
    <w:rsid w:val="00E600DD"/>
    <w:rsid w:val="00E60BB5"/>
    <w:rsid w:val="00E61DE7"/>
    <w:rsid w:val="00E62423"/>
    <w:rsid w:val="00E62ADE"/>
    <w:rsid w:val="00E664B2"/>
    <w:rsid w:val="00E72CE0"/>
    <w:rsid w:val="00E7453F"/>
    <w:rsid w:val="00E80B50"/>
    <w:rsid w:val="00E821CD"/>
    <w:rsid w:val="00E82275"/>
    <w:rsid w:val="00E8259C"/>
    <w:rsid w:val="00E82924"/>
    <w:rsid w:val="00E84501"/>
    <w:rsid w:val="00E91703"/>
    <w:rsid w:val="00E96EC3"/>
    <w:rsid w:val="00EA64BD"/>
    <w:rsid w:val="00EB2825"/>
    <w:rsid w:val="00EB29A4"/>
    <w:rsid w:val="00EB513C"/>
    <w:rsid w:val="00EB5891"/>
    <w:rsid w:val="00EB6F52"/>
    <w:rsid w:val="00EC05AE"/>
    <w:rsid w:val="00EE0BDA"/>
    <w:rsid w:val="00EE3C5F"/>
    <w:rsid w:val="00EE57C5"/>
    <w:rsid w:val="00EF79DC"/>
    <w:rsid w:val="00EF7E19"/>
    <w:rsid w:val="00F040B2"/>
    <w:rsid w:val="00F04CDB"/>
    <w:rsid w:val="00F13661"/>
    <w:rsid w:val="00F143FB"/>
    <w:rsid w:val="00F14F36"/>
    <w:rsid w:val="00F22E4F"/>
    <w:rsid w:val="00F33557"/>
    <w:rsid w:val="00F35AC7"/>
    <w:rsid w:val="00F3760A"/>
    <w:rsid w:val="00F53929"/>
    <w:rsid w:val="00F55138"/>
    <w:rsid w:val="00F639AE"/>
    <w:rsid w:val="00F670FA"/>
    <w:rsid w:val="00F67A74"/>
    <w:rsid w:val="00F74309"/>
    <w:rsid w:val="00F76EF1"/>
    <w:rsid w:val="00F77E99"/>
    <w:rsid w:val="00F809C6"/>
    <w:rsid w:val="00F8520B"/>
    <w:rsid w:val="00F87E38"/>
    <w:rsid w:val="00F93D60"/>
    <w:rsid w:val="00FA1E70"/>
    <w:rsid w:val="00FA546C"/>
    <w:rsid w:val="00FB10A8"/>
    <w:rsid w:val="00FB1B76"/>
    <w:rsid w:val="00FB356F"/>
    <w:rsid w:val="00FD0BC3"/>
    <w:rsid w:val="00FD18E4"/>
    <w:rsid w:val="00FD1A5A"/>
    <w:rsid w:val="00FD6E38"/>
    <w:rsid w:val="00FE1FAC"/>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BC0B2C"/>
    <w:pPr>
      <w:overflowPunct/>
      <w:autoSpaceDE/>
      <w:autoSpaceDN/>
      <w:adjustRightInd/>
      <w:spacing w:after="120"/>
      <w:jc w:val="both"/>
      <w:textAlignment w:val="auto"/>
    </w:pPr>
    <w:rPr>
      <w:rFonts w:ascii="Times" w:eastAsia="Batang" w:hAnsi="Times"/>
      <w:szCs w:val="24"/>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C0B2C"/>
    <w:rPr>
      <w:rFonts w:ascii="Times" w:eastAsia="Batang" w:hAnsi="Times" w:cs="Times New Roman"/>
      <w:sz w:val="20"/>
      <w:szCs w:val="24"/>
      <w:lang w:val="en-GB"/>
    </w:rPr>
  </w:style>
  <w:style w:type="paragraph" w:styleId="NormalWeb">
    <w:name w:val="Normal (Web)"/>
    <w:basedOn w:val="Normal"/>
    <w:uiPriority w:val="99"/>
    <w:unhideWhenUsed/>
    <w:rsid w:val="00543B21"/>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543B21"/>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basedOn w:val="BodyTextChar"/>
    <w:link w:val="IvDbodytext"/>
    <w:rsid w:val="00543B21"/>
    <w:rPr>
      <w:rFonts w:ascii="Arial" w:eastAsia="Times New Roman" w:hAnsi="Arial" w:cs="Times New Roman"/>
      <w:spacing w:val="2"/>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794396509">
      <w:bodyDiv w:val="1"/>
      <w:marLeft w:val="0"/>
      <w:marRight w:val="0"/>
      <w:marTop w:val="0"/>
      <w:marBottom w:val="0"/>
      <w:divBdr>
        <w:top w:val="none" w:sz="0" w:space="0" w:color="auto"/>
        <w:left w:val="none" w:sz="0" w:space="0" w:color="auto"/>
        <w:bottom w:val="none" w:sz="0" w:space="0" w:color="auto"/>
        <w:right w:val="none" w:sz="0" w:space="0" w:color="auto"/>
      </w:divBdr>
      <w:divsChild>
        <w:div w:id="1433478900">
          <w:marLeft w:val="0"/>
          <w:marRight w:val="0"/>
          <w:marTop w:val="0"/>
          <w:marBottom w:val="0"/>
          <w:divBdr>
            <w:top w:val="none" w:sz="0" w:space="0" w:color="auto"/>
            <w:left w:val="none" w:sz="0" w:space="0" w:color="auto"/>
            <w:bottom w:val="none" w:sz="0" w:space="0" w:color="auto"/>
            <w:right w:val="none" w:sz="0" w:space="0" w:color="auto"/>
          </w:divBdr>
          <w:divsChild>
            <w:div w:id="1429734379">
              <w:marLeft w:val="660"/>
              <w:marRight w:val="0"/>
              <w:marTop w:val="0"/>
              <w:marBottom w:val="0"/>
              <w:divBdr>
                <w:top w:val="none" w:sz="0" w:space="0" w:color="auto"/>
                <w:left w:val="none" w:sz="0" w:space="0" w:color="auto"/>
                <w:bottom w:val="none" w:sz="0" w:space="0" w:color="auto"/>
                <w:right w:val="none" w:sz="0" w:space="0" w:color="auto"/>
              </w:divBdr>
              <w:divsChild>
                <w:div w:id="1751660150">
                  <w:marLeft w:val="0"/>
                  <w:marRight w:val="225"/>
                  <w:marTop w:val="75"/>
                  <w:marBottom w:val="0"/>
                  <w:divBdr>
                    <w:top w:val="none" w:sz="0" w:space="0" w:color="auto"/>
                    <w:left w:val="none" w:sz="0" w:space="0" w:color="auto"/>
                    <w:bottom w:val="none" w:sz="0" w:space="0" w:color="auto"/>
                    <w:right w:val="none" w:sz="0" w:space="0" w:color="auto"/>
                  </w:divBdr>
                  <w:divsChild>
                    <w:div w:id="1952936367">
                      <w:marLeft w:val="0"/>
                      <w:marRight w:val="0"/>
                      <w:marTop w:val="0"/>
                      <w:marBottom w:val="0"/>
                      <w:divBdr>
                        <w:top w:val="none" w:sz="0" w:space="0" w:color="auto"/>
                        <w:left w:val="none" w:sz="0" w:space="0" w:color="auto"/>
                        <w:bottom w:val="none" w:sz="0" w:space="0" w:color="auto"/>
                        <w:right w:val="none" w:sz="0" w:space="0" w:color="auto"/>
                      </w:divBdr>
                      <w:divsChild>
                        <w:div w:id="138872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72F6D6-99E1-4739-B2D4-BE1442B2E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310</TotalTime>
  <Pages>4</Pages>
  <Words>848</Words>
  <Characters>4837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5674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59</cp:revision>
  <dcterms:created xsi:type="dcterms:W3CDTF">2017-03-24T11:25:00Z</dcterms:created>
  <dcterms:modified xsi:type="dcterms:W3CDTF">2017-05-05T05:45:00Z</dcterms:modified>
</cp:coreProperties>
</file>